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F22"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3B5F22"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w:t>
      </w:r>
      <w:r w:rsidR="003B5F22">
        <w:rPr>
          <w:rFonts w:ascii="Times New Roman" w:hAnsi="Times New Roman"/>
          <w:szCs w:val="22"/>
        </w:rPr>
        <w:t>ame: …………………………………………</w:t>
      </w:r>
      <w:bookmarkStart w:id="0" w:name="_GoBack"/>
      <w:bookmarkEnd w:id="0"/>
      <w:r w:rsidR="003B5F22">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w:t>
      </w:r>
      <w:r w:rsidR="003B5F22">
        <w:rPr>
          <w:rFonts w:ascii="Times New Roman" w:hAnsi="Times New Roman"/>
          <w:szCs w:val="22"/>
        </w:rPr>
        <w:t>ESEL): ……………………</w:t>
      </w:r>
      <w:r>
        <w:rPr>
          <w:rFonts w:ascii="Times New Roman" w:hAnsi="Times New Roman"/>
          <w:szCs w:val="22"/>
        </w:rPr>
        <w:t>……………………………</w:t>
      </w:r>
      <w:r w:rsidR="003B5F22">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w:t>
      </w:r>
      <w:r w:rsidR="003B5F22">
        <w:rPr>
          <w:rFonts w:ascii="Times New Roman" w:hAnsi="Times New Roman"/>
          <w:szCs w:val="22"/>
        </w:rPr>
        <w:t xml:space="preserve"> Number (NIP):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b/>
          <w:szCs w:val="22"/>
        </w:rPr>
      </w:pPr>
    </w:p>
    <w:p w:rsidR="003B5F22"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3B5F22">
        <w:rPr>
          <w:rFonts w:ascii="Times New Roman" w:hAnsi="Times New Roman"/>
          <w:szCs w:val="22"/>
        </w:rPr>
        <w:t>.…………………………………………</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w:t>
      </w:r>
      <w:r w:rsidR="003B5F22">
        <w:rPr>
          <w:rFonts w:ascii="Times New Roman" w:hAnsi="Times New Roman"/>
          <w:szCs w:val="22"/>
        </w:rPr>
        <w:t>on Number (PESEL):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w:t>
      </w:r>
      <w:r w:rsidR="003B5F22">
        <w:rPr>
          <w:rFonts w:ascii="Times New Roman" w:hAnsi="Times New Roman"/>
          <w:szCs w:val="22"/>
        </w:rPr>
        <w:t>):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szCs w:val="22"/>
        </w:rPr>
      </w:pPr>
    </w:p>
    <w:p w:rsidR="003B5F22" w:rsidRDefault="00B2212A" w:rsidP="00B2212A">
      <w:pPr>
        <w:pStyle w:val="Tekstpodstawowy"/>
        <w:tabs>
          <w:tab w:val="right" w:leader="hyphen" w:pos="9072"/>
        </w:tabs>
        <w:spacing w:before="120"/>
        <w:rPr>
          <w:rFonts w:ascii="Times New Roman" w:hAnsi="Times New Roman"/>
          <w:sz w:val="18"/>
          <w:szCs w:val="22"/>
        </w:rPr>
      </w:pPr>
      <w:r>
        <w:rPr>
          <w:rFonts w:ascii="Times New Roman" w:hAnsi="Times New Roman"/>
        </w:rPr>
        <w:t xml:space="preserve">Proxy details </w:t>
      </w:r>
      <w:r w:rsidRPr="003B5F22">
        <w:rPr>
          <w:rFonts w:ascii="Times New Roman" w:hAnsi="Times New Roman"/>
          <w:sz w:val="18"/>
        </w:rPr>
        <w:t>(fill in in the case of powers of attorney, copying the section concerning proxy details an appropriate number of times as necessary):</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w:t>
      </w:r>
      <w:r w:rsidR="003B5F22">
        <w:rPr>
          <w:rFonts w:ascii="Times New Roman" w:hAnsi="Times New Roman"/>
          <w:szCs w:val="22"/>
        </w:rPr>
        <w:t>ame: …………………….……………………………………</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w:t>
      </w:r>
      <w:r w:rsidR="003B5F22">
        <w:rPr>
          <w:rFonts w:ascii="Times New Roman" w:hAnsi="Times New Roman"/>
          <w:szCs w:val="22"/>
        </w:rPr>
        <w:t>SEL):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3B5F22">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47153D" w:rsidRDefault="00B2212A" w:rsidP="00B2212A">
      <w:pPr>
        <w:pStyle w:val="Tekstpodstawowy"/>
        <w:tabs>
          <w:tab w:val="right" w:leader="hyphen" w:pos="9072"/>
        </w:tabs>
        <w:spacing w:before="120"/>
        <w:rPr>
          <w:rFonts w:ascii="Times New Roman" w:hAnsi="Times New Roman"/>
          <w:szCs w:val="22"/>
        </w:rPr>
      </w:pPr>
    </w:p>
    <w:p w:rsidR="00B2212A" w:rsidRPr="00605497"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F9294E" w:rsidRDefault="00F9294E" w:rsidP="00F9294E">
      <w:pPr>
        <w:jc w:val="both"/>
        <w:rPr>
          <w:sz w:val="22"/>
          <w:szCs w:val="22"/>
          <w:highlight w:val="yellow"/>
        </w:rPr>
      </w:pPr>
    </w:p>
    <w:p w:rsidR="00451D8D" w:rsidRPr="002E6340" w:rsidRDefault="00451D8D" w:rsidP="00451D8D">
      <w:pPr>
        <w:jc w:val="center"/>
        <w:rPr>
          <w:b/>
          <w:sz w:val="22"/>
          <w:szCs w:val="22"/>
        </w:rPr>
      </w:pPr>
      <w:r>
        <w:rPr>
          <w:b/>
          <w:sz w:val="22"/>
          <w:szCs w:val="22"/>
        </w:rPr>
        <w:t>Resolution No. ……</w:t>
      </w:r>
    </w:p>
    <w:p w:rsidR="00451D8D" w:rsidRPr="002E6340" w:rsidRDefault="00451D8D" w:rsidP="00451D8D">
      <w:pPr>
        <w:jc w:val="center"/>
        <w:rPr>
          <w:b/>
          <w:sz w:val="22"/>
          <w:szCs w:val="22"/>
        </w:rPr>
      </w:pPr>
      <w:r>
        <w:rPr>
          <w:b/>
          <w:sz w:val="22"/>
          <w:szCs w:val="22"/>
        </w:rPr>
        <w:lastRenderedPageBreak/>
        <w:t>of the Annual General Meeting of Budimex S.A.</w:t>
      </w:r>
    </w:p>
    <w:p w:rsidR="00451D8D" w:rsidRPr="002E6340" w:rsidRDefault="00451D8D" w:rsidP="00451D8D">
      <w:pPr>
        <w:jc w:val="center"/>
        <w:rPr>
          <w:b/>
          <w:sz w:val="22"/>
          <w:szCs w:val="22"/>
        </w:rPr>
      </w:pPr>
      <w:r>
        <w:rPr>
          <w:b/>
          <w:sz w:val="22"/>
          <w:szCs w:val="22"/>
        </w:rPr>
        <w:t>dated 16 May 2019</w:t>
      </w:r>
    </w:p>
    <w:p w:rsidR="00451D8D" w:rsidRPr="002E6340" w:rsidRDefault="00451D8D" w:rsidP="00451D8D">
      <w:pPr>
        <w:rPr>
          <w:sz w:val="22"/>
          <w:szCs w:val="22"/>
        </w:rPr>
      </w:pPr>
    </w:p>
    <w:p w:rsidR="00451D8D" w:rsidRPr="002E6340" w:rsidRDefault="00451D8D" w:rsidP="00451D8D">
      <w:pPr>
        <w:rPr>
          <w:color w:val="000000"/>
          <w:sz w:val="22"/>
          <w:szCs w:val="22"/>
        </w:rPr>
      </w:pPr>
    </w:p>
    <w:p w:rsidR="003B5F22" w:rsidRDefault="00451D8D" w:rsidP="00451D8D">
      <w:pPr>
        <w:pStyle w:val="Tekstpodstawowy3"/>
        <w:ind w:left="1260" w:hanging="1260"/>
        <w:rPr>
          <w:b/>
          <w:color w:val="000000"/>
          <w:sz w:val="22"/>
          <w:szCs w:val="22"/>
        </w:rPr>
      </w:pPr>
      <w:r>
        <w:rPr>
          <w:b/>
          <w:sz w:val="22"/>
          <w:szCs w:val="22"/>
        </w:rPr>
        <w:t xml:space="preserve">on </w:t>
      </w:r>
      <w:r>
        <w:rPr>
          <w:b/>
          <w:color w:val="000000"/>
          <w:sz w:val="22"/>
          <w:szCs w:val="22"/>
        </w:rPr>
        <w:t xml:space="preserve">amending </w:t>
      </w:r>
      <w:r>
        <w:rPr>
          <w:b/>
          <w:sz w:val="22"/>
          <w:szCs w:val="22"/>
        </w:rPr>
        <w:t xml:space="preserve">§ 12 (5) and </w:t>
      </w:r>
      <w:r>
        <w:rPr>
          <w:b/>
          <w:color w:val="000000"/>
          <w:sz w:val="22"/>
          <w:szCs w:val="22"/>
        </w:rPr>
        <w:t>§ 16 (3) of the Company’s Articles of Association and adopting a uniform text of the of the Articles of Association</w:t>
      </w:r>
    </w:p>
    <w:p w:rsidR="00451D8D" w:rsidRPr="002E6340" w:rsidRDefault="00451D8D" w:rsidP="00451D8D">
      <w:pPr>
        <w:rPr>
          <w:color w:val="000000"/>
          <w:sz w:val="22"/>
          <w:szCs w:val="22"/>
        </w:rPr>
      </w:pPr>
    </w:p>
    <w:p w:rsidR="003B5F22" w:rsidRDefault="00451D8D" w:rsidP="00A24E46">
      <w:pPr>
        <w:pStyle w:val="Tekstpodstawowywcity2"/>
        <w:tabs>
          <w:tab w:val="num" w:pos="1440"/>
        </w:tabs>
        <w:spacing w:after="0" w:line="240" w:lineRule="auto"/>
        <w:ind w:left="0"/>
        <w:jc w:val="both"/>
        <w:rPr>
          <w:color w:val="000000"/>
          <w:sz w:val="22"/>
          <w:szCs w:val="22"/>
        </w:rPr>
      </w:pPr>
      <w:r>
        <w:rPr>
          <w:sz w:val="22"/>
          <w:szCs w:val="22"/>
        </w:rPr>
        <w:t>Pursuant to Article</w:t>
      </w:r>
      <w:r>
        <w:rPr>
          <w:color w:val="000000"/>
          <w:sz w:val="22"/>
          <w:szCs w:val="22"/>
        </w:rPr>
        <w:t xml:space="preserve"> 430 of the Commercial Companies Code and § 13 letter r) of the Company’s Articles of Association, it is resolved as follows:</w:t>
      </w:r>
    </w:p>
    <w:p w:rsidR="003B5F22" w:rsidRDefault="00451D8D" w:rsidP="00A24E46">
      <w:pPr>
        <w:tabs>
          <w:tab w:val="right" w:leader="hyphen" w:pos="9072"/>
        </w:tabs>
        <w:jc w:val="both"/>
        <w:rPr>
          <w:sz w:val="22"/>
          <w:szCs w:val="22"/>
        </w:rPr>
      </w:pPr>
      <w:r>
        <w:rPr>
          <w:sz w:val="22"/>
          <w:szCs w:val="22"/>
        </w:rPr>
        <w:t xml:space="preserve">§ 1. </w:t>
      </w:r>
      <w:r>
        <w:rPr>
          <w:bCs/>
          <w:sz w:val="22"/>
          <w:szCs w:val="22"/>
        </w:rPr>
        <w:t>To amend the content of § 12 (5) of the Articles of Association of Budimex S.A., giving it the following wording</w:t>
      </w:r>
      <w:r>
        <w:rPr>
          <w:sz w:val="22"/>
          <w:szCs w:val="22"/>
        </w:rPr>
        <w:t>:</w:t>
      </w:r>
    </w:p>
    <w:p w:rsidR="00451D8D" w:rsidRDefault="00451D8D" w:rsidP="00A24E46">
      <w:pPr>
        <w:jc w:val="both"/>
        <w:rPr>
          <w:bCs/>
          <w:sz w:val="22"/>
          <w:szCs w:val="22"/>
        </w:rPr>
      </w:pPr>
      <w:r>
        <w:rPr>
          <w:bCs/>
          <w:sz w:val="22"/>
          <w:szCs w:val="22"/>
        </w:rPr>
        <w:t>“A power of attorney to attend the Meeting and exercise the voting right shall be granted in writing or in an electronic form. Requirements concerning a power of attorney granted in an electronic form are regulated by separate provisions. The Company informs of these requirements in the notice of convening the Meeting on a case-by-case basis.”</w:t>
      </w:r>
    </w:p>
    <w:p w:rsidR="00451D8D" w:rsidRDefault="00451D8D" w:rsidP="00A24E46">
      <w:pPr>
        <w:tabs>
          <w:tab w:val="right" w:leader="hyphen" w:pos="9072"/>
        </w:tabs>
        <w:jc w:val="both"/>
        <w:rPr>
          <w:bCs/>
          <w:sz w:val="22"/>
          <w:szCs w:val="22"/>
        </w:rPr>
      </w:pPr>
    </w:p>
    <w:p w:rsidR="003B5F22" w:rsidRDefault="00451D8D" w:rsidP="00A24E46">
      <w:pPr>
        <w:tabs>
          <w:tab w:val="right" w:leader="hyphen" w:pos="9072"/>
        </w:tabs>
        <w:jc w:val="both"/>
        <w:rPr>
          <w:sz w:val="22"/>
          <w:szCs w:val="22"/>
        </w:rPr>
      </w:pPr>
      <w:r>
        <w:rPr>
          <w:bCs/>
          <w:sz w:val="22"/>
          <w:szCs w:val="22"/>
        </w:rPr>
        <w:t>To amend the content of § 16 (3) of the Articles of Association of Budimex S.A., giving it the following wording</w:t>
      </w:r>
      <w:r>
        <w:rPr>
          <w:sz w:val="22"/>
          <w:szCs w:val="22"/>
        </w:rPr>
        <w:t>:</w:t>
      </w:r>
    </w:p>
    <w:p w:rsidR="003B5F22" w:rsidRDefault="00451D8D" w:rsidP="00A24E46">
      <w:pPr>
        <w:jc w:val="both"/>
        <w:rPr>
          <w:bCs/>
          <w:sz w:val="22"/>
          <w:szCs w:val="22"/>
        </w:rPr>
      </w:pPr>
      <w:r>
        <w:rPr>
          <w:bCs/>
          <w:sz w:val="22"/>
          <w:szCs w:val="22"/>
        </w:rPr>
        <w:t>“3. If a member of the Supervisory Board steps down or ceases to perform his or her duties for reasons of random character before the term expires, the next General Meeting shall supplement the composition of the Board. The Supervisory Board may co-opt a new member of the Board in the place of outgoing member already before the General Meeting is convened.</w:t>
      </w:r>
    </w:p>
    <w:p w:rsidR="00451D8D" w:rsidRPr="00AE2A51" w:rsidRDefault="00451D8D" w:rsidP="00A24E46">
      <w:pPr>
        <w:jc w:val="both"/>
        <w:rPr>
          <w:bCs/>
          <w:sz w:val="22"/>
          <w:szCs w:val="22"/>
        </w:rPr>
      </w:pPr>
      <w:r>
        <w:rPr>
          <w:bCs/>
          <w:sz w:val="22"/>
          <w:szCs w:val="22"/>
        </w:rPr>
        <w:t>The number of co-opted members cannot exceed half of the total number of appointed Board members.</w:t>
      </w:r>
    </w:p>
    <w:p w:rsidR="00451D8D" w:rsidRPr="002E6340" w:rsidRDefault="00451D8D" w:rsidP="00A24E46">
      <w:pPr>
        <w:jc w:val="both"/>
        <w:rPr>
          <w:bCs/>
          <w:sz w:val="22"/>
          <w:szCs w:val="22"/>
        </w:rPr>
      </w:pPr>
      <w:r>
        <w:rPr>
          <w:bCs/>
          <w:sz w:val="22"/>
          <w:szCs w:val="22"/>
        </w:rPr>
        <w:t xml:space="preserve">Co-opted Board members should be presented to the next General Meeting for approval. The mandates of the Supervisory Board members appointed or co-opted during the term expire as of </w:t>
      </w:r>
      <w:r>
        <w:rPr>
          <w:color w:val="333333"/>
          <w:sz w:val="22"/>
          <w:szCs w:val="22"/>
          <w:shd w:val="clear" w:color="auto" w:fill="FFFFFF"/>
        </w:rPr>
        <w:t xml:space="preserve">the expiry of the mandates of the other members </w:t>
      </w:r>
      <w:r>
        <w:rPr>
          <w:sz w:val="22"/>
          <w:szCs w:val="22"/>
        </w:rPr>
        <w:t>of the Supervisory Board of a given term.”</w:t>
      </w:r>
    </w:p>
    <w:p w:rsidR="00451D8D" w:rsidRPr="00A24E46" w:rsidRDefault="00451D8D" w:rsidP="00A24E46">
      <w:pPr>
        <w:pStyle w:val="Tekstpodstawowy2"/>
        <w:tabs>
          <w:tab w:val="right" w:leader="hyphen" w:pos="9072"/>
        </w:tabs>
        <w:spacing w:before="120" w:line="360" w:lineRule="auto"/>
        <w:jc w:val="both"/>
        <w:rPr>
          <w:sz w:val="22"/>
          <w:szCs w:val="22"/>
        </w:rPr>
      </w:pPr>
      <w:r>
        <w:rPr>
          <w:sz w:val="22"/>
          <w:szCs w:val="22"/>
        </w:rPr>
        <w:t>The other provisions of the Articles of Association of Budimex S.A. remain unchanged.</w:t>
      </w:r>
    </w:p>
    <w:p w:rsidR="00451D8D" w:rsidRPr="002E6340" w:rsidRDefault="00451D8D" w:rsidP="00A24E46">
      <w:pPr>
        <w:jc w:val="both"/>
        <w:rPr>
          <w:bCs/>
          <w:sz w:val="22"/>
          <w:szCs w:val="22"/>
        </w:rPr>
      </w:pPr>
      <w:r>
        <w:rPr>
          <w:color w:val="000000"/>
          <w:sz w:val="22"/>
          <w:szCs w:val="22"/>
        </w:rPr>
        <w:t xml:space="preserve">§ 2. </w:t>
      </w:r>
      <w:r>
        <w:rPr>
          <w:sz w:val="22"/>
          <w:szCs w:val="22"/>
        </w:rPr>
        <w:t>In connection with the amendments to the Articles of Association, introduced in § 1 hereof, to resolve a uniform text of the Articles of Association taking into account these amendments, which is included in the attachment hereto.</w:t>
      </w:r>
      <w:r>
        <w:rPr>
          <w:bCs/>
          <w:sz w:val="22"/>
          <w:szCs w:val="22"/>
        </w:rPr>
        <w:t xml:space="preserve"> The attachment forms an integral part hereof.</w:t>
      </w:r>
    </w:p>
    <w:p w:rsidR="00451D8D" w:rsidRPr="002E6340" w:rsidRDefault="00451D8D" w:rsidP="00A24E46">
      <w:pPr>
        <w:jc w:val="both"/>
        <w:rPr>
          <w:sz w:val="22"/>
          <w:szCs w:val="22"/>
        </w:rPr>
      </w:pPr>
      <w:r>
        <w:rPr>
          <w:color w:val="000000"/>
          <w:sz w:val="22"/>
          <w:szCs w:val="22"/>
        </w:rPr>
        <w:t xml:space="preserve">§ 3. </w:t>
      </w:r>
      <w:r>
        <w:rPr>
          <w:sz w:val="22"/>
          <w:szCs w:val="22"/>
        </w:rPr>
        <w:t>The Resolution becomes effective as of the day of registering the amendments to the Articles of Association introduced hereunder in the National Court Register.</w:t>
      </w:r>
    </w:p>
    <w:p w:rsidR="00451D8D" w:rsidRPr="002E6340" w:rsidRDefault="00451D8D" w:rsidP="00451D8D">
      <w:pPr>
        <w:rPr>
          <w:sz w:val="22"/>
          <w:szCs w:val="22"/>
        </w:rPr>
      </w:pPr>
    </w:p>
    <w:p w:rsidR="00451D8D" w:rsidRPr="00AC10D3" w:rsidRDefault="00451D8D" w:rsidP="00451D8D">
      <w:pPr>
        <w:rPr>
          <w:sz w:val="22"/>
          <w:szCs w:val="22"/>
          <w:u w:val="single"/>
        </w:rPr>
      </w:pPr>
      <w:r>
        <w:rPr>
          <w:sz w:val="22"/>
          <w:szCs w:val="22"/>
          <w:u w:val="single"/>
        </w:rPr>
        <w:t>Attached:</w:t>
      </w:r>
    </w:p>
    <w:p w:rsidR="003B5F22" w:rsidRDefault="00451D8D" w:rsidP="005745E0">
      <w:pPr>
        <w:rPr>
          <w:sz w:val="22"/>
          <w:szCs w:val="22"/>
        </w:rPr>
      </w:pPr>
      <w:r>
        <w:rPr>
          <w:sz w:val="22"/>
          <w:szCs w:val="22"/>
        </w:rPr>
        <w:t>Uniform text of the Articles of Association of Budimex S.A.</w:t>
      </w:r>
    </w:p>
    <w:p w:rsidR="00F9294E" w:rsidRDefault="00F9294E" w:rsidP="00F9294E">
      <w:pPr>
        <w:jc w:val="both"/>
        <w:rPr>
          <w:sz w:val="22"/>
          <w:szCs w:val="22"/>
        </w:rPr>
      </w:pPr>
    </w:p>
    <w:p w:rsidR="00605497" w:rsidRPr="00605497" w:rsidRDefault="00605497" w:rsidP="00F9294E">
      <w:pPr>
        <w:jc w:val="both"/>
        <w:rPr>
          <w:sz w:val="22"/>
          <w:szCs w:val="22"/>
        </w:rPr>
      </w:pPr>
    </w:p>
    <w:p w:rsidR="00F9294E" w:rsidRPr="00605497" w:rsidRDefault="00F9294E" w:rsidP="00F9294E">
      <w:pPr>
        <w:rPr>
          <w:sz w:val="22"/>
          <w:szCs w:val="22"/>
        </w:rPr>
      </w:pPr>
      <w:r>
        <w:rPr>
          <w:sz w:val="22"/>
          <w:szCs w:val="22"/>
        </w:rPr>
        <w:t>Method of voting:</w:t>
      </w:r>
    </w:p>
    <w:p w:rsidR="00F9294E" w:rsidRPr="00605497" w:rsidRDefault="00F9294E" w:rsidP="00F9294E">
      <w:pPr>
        <w:rPr>
          <w:sz w:val="22"/>
          <w:szCs w:val="22"/>
        </w:rPr>
      </w:pPr>
      <w:r>
        <w:rPr>
          <w:sz w:val="22"/>
          <w:szCs w:val="22"/>
        </w:rPr>
        <w:t>For: ……………….. (number of votes)</w:t>
      </w:r>
    </w:p>
    <w:p w:rsidR="00F9294E" w:rsidRPr="00605497" w:rsidRDefault="00F9294E" w:rsidP="00F9294E">
      <w:pPr>
        <w:rPr>
          <w:sz w:val="22"/>
          <w:szCs w:val="22"/>
        </w:rPr>
      </w:pPr>
      <w:r>
        <w:rPr>
          <w:sz w:val="22"/>
          <w:szCs w:val="22"/>
        </w:rPr>
        <w:t>Against: ……………..(number of votes)</w:t>
      </w:r>
    </w:p>
    <w:p w:rsidR="00F9294E" w:rsidRPr="00605497" w:rsidRDefault="00F9294E" w:rsidP="00F9294E">
      <w:pPr>
        <w:rPr>
          <w:sz w:val="22"/>
          <w:szCs w:val="22"/>
        </w:rPr>
      </w:pPr>
      <w:r>
        <w:rPr>
          <w:sz w:val="22"/>
          <w:szCs w:val="22"/>
        </w:rPr>
        <w:t>Abstained: ……………(number of votes)</w:t>
      </w:r>
    </w:p>
    <w:p w:rsidR="00F9294E" w:rsidRPr="00605497" w:rsidRDefault="00F9294E" w:rsidP="00F9294E">
      <w:pPr>
        <w:rPr>
          <w:sz w:val="22"/>
          <w:szCs w:val="22"/>
        </w:rPr>
      </w:pPr>
      <w:r>
        <w:rPr>
          <w:sz w:val="22"/>
          <w:szCs w:val="22"/>
        </w:rPr>
        <w:t>Objection of the shareholder represented by the proxy: ……………………….</w:t>
      </w:r>
      <w:r>
        <w:t>……………………………………………………………………………………………………………………………………………………………………………….…………………………………………………………………………………………………..</w:t>
      </w:r>
    </w:p>
    <w:p w:rsidR="00F9294E" w:rsidRPr="00605497" w:rsidRDefault="00F9294E" w:rsidP="00F9294E">
      <w:pPr>
        <w:rPr>
          <w:sz w:val="22"/>
          <w:szCs w:val="22"/>
        </w:rPr>
      </w:pPr>
    </w:p>
    <w:p w:rsidR="00F9294E" w:rsidRPr="00605497" w:rsidRDefault="00F9294E" w:rsidP="00F9294E">
      <w:pPr>
        <w:rPr>
          <w:sz w:val="22"/>
          <w:szCs w:val="22"/>
        </w:rPr>
      </w:pPr>
    </w:p>
    <w:p w:rsidR="00F9294E" w:rsidRPr="00605497" w:rsidRDefault="00F9294E" w:rsidP="00F9294E">
      <w:pPr>
        <w:rPr>
          <w:sz w:val="22"/>
          <w:szCs w:val="22"/>
        </w:rPr>
      </w:pPr>
      <w:r>
        <w:rPr>
          <w:sz w:val="22"/>
          <w:szCs w:val="22"/>
        </w:rPr>
        <w:t>Guidance on the method of voting with respect to the aforementioned resolution:</w:t>
      </w:r>
    </w:p>
    <w:p w:rsidR="00194EC4" w:rsidRPr="005677CD" w:rsidRDefault="00F9294E" w:rsidP="003B5F22">
      <w:pPr>
        <w:rPr>
          <w:sz w:val="22"/>
          <w:szCs w:val="22"/>
        </w:rPr>
      </w:pPr>
      <w:r>
        <w:rPr>
          <w:sz w:val="22"/>
          <w:szCs w:val="22"/>
        </w:rPr>
        <w:t>………………………………………………………….</w:t>
      </w:r>
      <w:r>
        <w:t>………………………………………………………………………………………………………………………………………………………………………………………………………………………………………………….</w:t>
      </w:r>
    </w:p>
    <w:sectPr w:rsidR="00194EC4" w:rsidRPr="005677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F40AC"/>
    <w:multiLevelType w:val="hybridMultilevel"/>
    <w:tmpl w:val="ACB2B926"/>
    <w:lvl w:ilvl="0" w:tplc="38D478D6">
      <w:start w:val="1"/>
      <w:numFmt w:val="decimal"/>
      <w:lvlText w:val="%1)"/>
      <w:lvlJc w:val="left"/>
      <w:pPr>
        <w:tabs>
          <w:tab w:val="num" w:pos="428"/>
        </w:tabs>
        <w:ind w:left="428" w:hanging="405"/>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18A1619"/>
    <w:multiLevelType w:val="hybridMultilevel"/>
    <w:tmpl w:val="F9642AB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6"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C5C0D6E"/>
    <w:multiLevelType w:val="hybridMultilevel"/>
    <w:tmpl w:val="1F02ED1A"/>
    <w:lvl w:ilvl="0" w:tplc="0415000F">
      <w:start w:val="1"/>
      <w:numFmt w:val="decimal"/>
      <w:lvlText w:val="%1."/>
      <w:lvlJc w:val="left"/>
      <w:pPr>
        <w:tabs>
          <w:tab w:val="num" w:pos="735"/>
        </w:tabs>
        <w:ind w:left="735" w:hanging="360"/>
      </w:pPr>
      <w:rPr>
        <w:rFonts w:hint="default"/>
      </w:rPr>
    </w:lvl>
    <w:lvl w:ilvl="1" w:tplc="04150003">
      <w:start w:val="1"/>
      <w:numFmt w:val="decimal"/>
      <w:lvlText w:val="%2."/>
      <w:lvlJc w:val="left"/>
      <w:pPr>
        <w:tabs>
          <w:tab w:val="num" w:pos="1815"/>
        </w:tabs>
        <w:ind w:left="1815" w:hanging="360"/>
      </w:pPr>
    </w:lvl>
    <w:lvl w:ilvl="2" w:tplc="04150005">
      <w:start w:val="1"/>
      <w:numFmt w:val="decimal"/>
      <w:lvlText w:val="%3."/>
      <w:lvlJc w:val="left"/>
      <w:pPr>
        <w:tabs>
          <w:tab w:val="num" w:pos="2535"/>
        </w:tabs>
        <w:ind w:left="2535" w:hanging="360"/>
      </w:pPr>
    </w:lvl>
    <w:lvl w:ilvl="3" w:tplc="04150001">
      <w:start w:val="1"/>
      <w:numFmt w:val="decimal"/>
      <w:lvlText w:val="%4."/>
      <w:lvlJc w:val="left"/>
      <w:pPr>
        <w:tabs>
          <w:tab w:val="num" w:pos="3255"/>
        </w:tabs>
        <w:ind w:left="3255" w:hanging="360"/>
      </w:pPr>
    </w:lvl>
    <w:lvl w:ilvl="4" w:tplc="04150003">
      <w:start w:val="1"/>
      <w:numFmt w:val="decimal"/>
      <w:lvlText w:val="%5."/>
      <w:lvlJc w:val="left"/>
      <w:pPr>
        <w:tabs>
          <w:tab w:val="num" w:pos="3975"/>
        </w:tabs>
        <w:ind w:left="3975" w:hanging="360"/>
      </w:pPr>
    </w:lvl>
    <w:lvl w:ilvl="5" w:tplc="04150005">
      <w:start w:val="1"/>
      <w:numFmt w:val="decimal"/>
      <w:lvlText w:val="%6."/>
      <w:lvlJc w:val="left"/>
      <w:pPr>
        <w:tabs>
          <w:tab w:val="num" w:pos="4695"/>
        </w:tabs>
        <w:ind w:left="4695" w:hanging="360"/>
      </w:pPr>
    </w:lvl>
    <w:lvl w:ilvl="6" w:tplc="04150001">
      <w:start w:val="1"/>
      <w:numFmt w:val="decimal"/>
      <w:lvlText w:val="%7."/>
      <w:lvlJc w:val="left"/>
      <w:pPr>
        <w:tabs>
          <w:tab w:val="num" w:pos="5415"/>
        </w:tabs>
        <w:ind w:left="5415" w:hanging="360"/>
      </w:pPr>
    </w:lvl>
    <w:lvl w:ilvl="7" w:tplc="04150003">
      <w:start w:val="1"/>
      <w:numFmt w:val="decimal"/>
      <w:lvlText w:val="%8."/>
      <w:lvlJc w:val="left"/>
      <w:pPr>
        <w:tabs>
          <w:tab w:val="num" w:pos="6135"/>
        </w:tabs>
        <w:ind w:left="6135" w:hanging="360"/>
      </w:pPr>
    </w:lvl>
    <w:lvl w:ilvl="8" w:tplc="04150005">
      <w:start w:val="1"/>
      <w:numFmt w:val="decimal"/>
      <w:lvlText w:val="%9."/>
      <w:lvlJc w:val="left"/>
      <w:pPr>
        <w:tabs>
          <w:tab w:val="num" w:pos="6855"/>
        </w:tabs>
        <w:ind w:left="6855" w:hanging="360"/>
      </w:p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5"/>
    <w:lvlOverride w:ilvl="0">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264AE"/>
    <w:rsid w:val="0005612A"/>
    <w:rsid w:val="00075306"/>
    <w:rsid w:val="00082ABE"/>
    <w:rsid w:val="00121010"/>
    <w:rsid w:val="001910C5"/>
    <w:rsid w:val="00194EC4"/>
    <w:rsid w:val="0019689D"/>
    <w:rsid w:val="002063E1"/>
    <w:rsid w:val="00240D10"/>
    <w:rsid w:val="002976C7"/>
    <w:rsid w:val="00353C1B"/>
    <w:rsid w:val="003A0464"/>
    <w:rsid w:val="003B5F22"/>
    <w:rsid w:val="003D0B42"/>
    <w:rsid w:val="00451D8D"/>
    <w:rsid w:val="0047515B"/>
    <w:rsid w:val="004B5F1D"/>
    <w:rsid w:val="0052494E"/>
    <w:rsid w:val="00530672"/>
    <w:rsid w:val="00561EC0"/>
    <w:rsid w:val="005677CD"/>
    <w:rsid w:val="00572A96"/>
    <w:rsid w:val="005745E0"/>
    <w:rsid w:val="005E7E6F"/>
    <w:rsid w:val="00605497"/>
    <w:rsid w:val="00626F71"/>
    <w:rsid w:val="00646652"/>
    <w:rsid w:val="00674498"/>
    <w:rsid w:val="0069065F"/>
    <w:rsid w:val="006C56BB"/>
    <w:rsid w:val="006F1354"/>
    <w:rsid w:val="006F1647"/>
    <w:rsid w:val="00707A21"/>
    <w:rsid w:val="0075648D"/>
    <w:rsid w:val="00765CE5"/>
    <w:rsid w:val="007F56F4"/>
    <w:rsid w:val="00805806"/>
    <w:rsid w:val="00816402"/>
    <w:rsid w:val="00892A22"/>
    <w:rsid w:val="008D22D2"/>
    <w:rsid w:val="0094623E"/>
    <w:rsid w:val="009530C7"/>
    <w:rsid w:val="00976C95"/>
    <w:rsid w:val="009C45D9"/>
    <w:rsid w:val="00A01C22"/>
    <w:rsid w:val="00A02456"/>
    <w:rsid w:val="00A24E46"/>
    <w:rsid w:val="00A50D41"/>
    <w:rsid w:val="00AA6DBA"/>
    <w:rsid w:val="00AC133F"/>
    <w:rsid w:val="00B00E98"/>
    <w:rsid w:val="00B140E7"/>
    <w:rsid w:val="00B2212A"/>
    <w:rsid w:val="00B776D8"/>
    <w:rsid w:val="00BA34F6"/>
    <w:rsid w:val="00BE25DD"/>
    <w:rsid w:val="00BF77A1"/>
    <w:rsid w:val="00C06816"/>
    <w:rsid w:val="00C5707F"/>
    <w:rsid w:val="00C62945"/>
    <w:rsid w:val="00C631B2"/>
    <w:rsid w:val="00C81BC9"/>
    <w:rsid w:val="00C9711F"/>
    <w:rsid w:val="00CC22BF"/>
    <w:rsid w:val="00D3654D"/>
    <w:rsid w:val="00D546DA"/>
    <w:rsid w:val="00DC3CC2"/>
    <w:rsid w:val="00DD41C0"/>
    <w:rsid w:val="00E92871"/>
    <w:rsid w:val="00F00382"/>
    <w:rsid w:val="00F00523"/>
    <w:rsid w:val="00F9011C"/>
    <w:rsid w:val="00F9294E"/>
    <w:rsid w:val="00FE3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3FA54E-D5AE-45E8-873E-B5E779622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qFormat/>
    <w:rsid w:val="00CC22BF"/>
    <w:pPr>
      <w:keepNext/>
      <w:jc w:val="center"/>
      <w:outlineLvl w:val="0"/>
    </w:pPr>
    <w:rPr>
      <w:rFonts w:ascii="Avalon" w:hAnsi="Avalon"/>
      <w:b/>
      <w:sz w:val="26"/>
      <w:szCs w:val="20"/>
    </w:rPr>
  </w:style>
  <w:style w:type="paragraph" w:styleId="Nagwek2">
    <w:name w:val="heading 2"/>
    <w:basedOn w:val="Normalny"/>
    <w:next w:val="Normalny"/>
    <w:qFormat/>
    <w:rsid w:val="00194EC4"/>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qFormat/>
    <w:rsid w:val="00CC22BF"/>
    <w:pPr>
      <w:jc w:val="center"/>
    </w:pPr>
    <w:rPr>
      <w:b/>
      <w:sz w:val="28"/>
    </w:rPr>
  </w:style>
  <w:style w:type="paragraph" w:styleId="Tekstpodstawowy3">
    <w:name w:val="Body Text 3"/>
    <w:basedOn w:val="Normalny"/>
    <w:link w:val="Tekstpodstawowy3Znak"/>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paragraph" w:styleId="Tekstdymka">
    <w:name w:val="Balloon Text"/>
    <w:basedOn w:val="Normalny"/>
    <w:link w:val="TekstdymkaZnak"/>
    <w:rsid w:val="00C81BC9"/>
    <w:rPr>
      <w:rFonts w:ascii="Tahoma" w:hAnsi="Tahoma" w:cs="Tahoma"/>
      <w:sz w:val="16"/>
      <w:szCs w:val="16"/>
    </w:rPr>
  </w:style>
  <w:style w:type="character" w:customStyle="1" w:styleId="TekstdymkaZnak">
    <w:name w:val="Tekst dymka Znak"/>
    <w:link w:val="Tekstdymka"/>
    <w:rsid w:val="00C81BC9"/>
    <w:rPr>
      <w:rFonts w:ascii="Tahoma" w:hAnsi="Tahoma" w:cs="Tahoma"/>
      <w:sz w:val="16"/>
      <w:szCs w:val="16"/>
    </w:rPr>
  </w:style>
  <w:style w:type="character" w:customStyle="1" w:styleId="TekstpodstawowyZnak">
    <w:name w:val="Tekst podstawowy Znak"/>
    <w:link w:val="Tekstpodstawowy"/>
    <w:rsid w:val="00C81BC9"/>
    <w:rPr>
      <w:rFonts w:ascii="Tahoma" w:hAnsi="Tahoma"/>
      <w:sz w:val="22"/>
      <w:lang w:eastAsia="en-US"/>
    </w:rPr>
  </w:style>
  <w:style w:type="character" w:customStyle="1" w:styleId="Tekstpodstawowy2Znak">
    <w:name w:val="Tekst podstawowy 2 Znak"/>
    <w:link w:val="Tekstpodstawowy2"/>
    <w:rsid w:val="00C81BC9"/>
    <w:rPr>
      <w:sz w:val="24"/>
      <w:szCs w:val="24"/>
    </w:rPr>
  </w:style>
  <w:style w:type="character" w:customStyle="1" w:styleId="Tekstpodstawowy3Znak">
    <w:name w:val="Tekst podstawowy 3 Znak"/>
    <w:link w:val="Tekstpodstawowy3"/>
    <w:rsid w:val="00C81B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56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667</Words>
  <Characters>4003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2019-04-23T11:07:00Z</dcterms:created>
  <dcterms:modified xsi:type="dcterms:W3CDTF">2019-04-26T12:19:00Z</dcterms:modified>
</cp:coreProperties>
</file>