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C383" w14:textId="1326B0E0" w:rsidR="00D824D3" w:rsidRPr="00132E81" w:rsidRDefault="00F65CEF">
      <w:pPr>
        <w:tabs>
          <w:tab w:val="left" w:pos="905"/>
          <w:tab w:val="right" w:pos="9298"/>
        </w:tabs>
        <w:spacing w:after="0" w:line="360" w:lineRule="auto"/>
        <w:jc w:val="right"/>
        <w:rPr>
          <w:rFonts w:ascii="Tahoma" w:eastAsia="Tahoma" w:hAnsi="Tahoma" w:cs="Tahoma"/>
          <w:color w:val="808080"/>
          <w:sz w:val="20"/>
          <w:szCs w:val="20"/>
        </w:rPr>
      </w:pPr>
      <w:r>
        <w:rPr>
          <w:rFonts w:ascii="Tahoma" w:eastAsia="Tahoma" w:hAnsi="Tahoma" w:cs="Tahoma"/>
          <w:color w:val="808080"/>
          <w:sz w:val="20"/>
          <w:szCs w:val="20"/>
        </w:rPr>
        <w:tab/>
      </w:r>
      <w:r>
        <w:rPr>
          <w:rFonts w:ascii="Tahoma" w:eastAsia="Tahoma" w:hAnsi="Tahoma" w:cs="Tahoma"/>
          <w:color w:val="808080"/>
          <w:sz w:val="20"/>
          <w:szCs w:val="20"/>
        </w:rPr>
        <w:tab/>
        <w:t>Warszawa</w:t>
      </w:r>
      <w:r w:rsidRPr="00132E81">
        <w:rPr>
          <w:rFonts w:ascii="Tahoma" w:eastAsia="Tahoma" w:hAnsi="Tahoma" w:cs="Tahoma"/>
          <w:color w:val="808080"/>
          <w:sz w:val="20"/>
          <w:szCs w:val="20"/>
        </w:rPr>
        <w:t>,</w:t>
      </w:r>
      <w:r w:rsidR="00F518C4" w:rsidRPr="00132E81">
        <w:rPr>
          <w:rFonts w:ascii="Tahoma" w:eastAsia="Tahoma" w:hAnsi="Tahoma" w:cs="Tahoma"/>
          <w:color w:val="808080"/>
          <w:sz w:val="20"/>
          <w:szCs w:val="20"/>
        </w:rPr>
        <w:t xml:space="preserve"> </w:t>
      </w:r>
      <w:r w:rsidR="00DD1201">
        <w:rPr>
          <w:rFonts w:ascii="Tahoma" w:eastAsia="Tahoma" w:hAnsi="Tahoma" w:cs="Tahoma"/>
          <w:color w:val="808080"/>
          <w:sz w:val="20"/>
          <w:szCs w:val="20"/>
        </w:rPr>
        <w:t>2</w:t>
      </w:r>
      <w:r w:rsidR="0068261B">
        <w:rPr>
          <w:rFonts w:ascii="Tahoma" w:eastAsia="Tahoma" w:hAnsi="Tahoma" w:cs="Tahoma"/>
          <w:color w:val="808080"/>
          <w:sz w:val="20"/>
          <w:szCs w:val="20"/>
        </w:rPr>
        <w:t>8</w:t>
      </w:r>
      <w:r w:rsidR="00DD1201">
        <w:rPr>
          <w:rFonts w:ascii="Tahoma" w:eastAsia="Tahoma" w:hAnsi="Tahoma" w:cs="Tahoma"/>
          <w:color w:val="808080"/>
          <w:sz w:val="20"/>
          <w:szCs w:val="20"/>
        </w:rPr>
        <w:t>.07.2025</w:t>
      </w:r>
    </w:p>
    <w:p w14:paraId="09B71CDC" w14:textId="37CB9027" w:rsidR="00D824D3" w:rsidRDefault="00B63B5B">
      <w:pPr>
        <w:spacing w:line="360" w:lineRule="auto"/>
        <w:jc w:val="center"/>
        <w:rPr>
          <w:rFonts w:ascii="Tahoma" w:eastAsia="Tahoma" w:hAnsi="Tahoma" w:cs="Tahoma"/>
          <w:b/>
          <w:color w:val="FFC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29EEB8" wp14:editId="2D5C56E0">
            <wp:simplePos x="0" y="0"/>
            <wp:positionH relativeFrom="column">
              <wp:posOffset>4765040</wp:posOffset>
            </wp:positionH>
            <wp:positionV relativeFrom="paragraph">
              <wp:posOffset>27305</wp:posOffset>
            </wp:positionV>
            <wp:extent cx="290830" cy="290830"/>
            <wp:effectExtent l="0" t="0" r="0" b="0"/>
            <wp:wrapNone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0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1035CC" wp14:editId="09ECC946">
            <wp:simplePos x="0" y="0"/>
            <wp:positionH relativeFrom="column">
              <wp:posOffset>4370705</wp:posOffset>
            </wp:positionH>
            <wp:positionV relativeFrom="paragraph">
              <wp:posOffset>27305</wp:posOffset>
            </wp:positionV>
            <wp:extent cx="262890" cy="262890"/>
            <wp:effectExtent l="0" t="0" r="0" b="0"/>
            <wp:wrapNone/>
            <wp:docPr id="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BF24723" wp14:editId="789FF934">
            <wp:simplePos x="0" y="0"/>
            <wp:positionH relativeFrom="column">
              <wp:posOffset>5180965</wp:posOffset>
            </wp:positionH>
            <wp:positionV relativeFrom="paragraph">
              <wp:posOffset>41275</wp:posOffset>
            </wp:positionV>
            <wp:extent cx="248920" cy="248920"/>
            <wp:effectExtent l="0" t="0" r="0" b="0"/>
            <wp:wrapNone/>
            <wp:docPr id="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8"/>
        <w:tblW w:w="10660" w:type="dxa"/>
        <w:tblInd w:w="-3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94"/>
        <w:gridCol w:w="3166"/>
      </w:tblGrid>
      <w:tr w:rsidR="00D824D3" w:rsidRPr="00775CAB" w14:paraId="18FE4A91" w14:textId="77777777" w:rsidTr="00AE4A40">
        <w:tc>
          <w:tcPr>
            <w:tcW w:w="7494" w:type="dxa"/>
          </w:tcPr>
          <w:p w14:paraId="50DAD41A" w14:textId="6E3BBCD2" w:rsidR="00D824D3" w:rsidRPr="00916DFA" w:rsidRDefault="00F65CEF">
            <w:pPr>
              <w:spacing w:line="360" w:lineRule="auto"/>
              <w:rPr>
                <w:rFonts w:ascii="Tahoma" w:eastAsia="Tahoma" w:hAnsi="Tahoma" w:cs="Tahoma"/>
                <w:bCs/>
                <w:color w:val="7F7F7F"/>
                <w:sz w:val="24"/>
                <w:szCs w:val="24"/>
              </w:rPr>
            </w:pPr>
            <w:r w:rsidRPr="00916DFA">
              <w:rPr>
                <w:rFonts w:ascii="Tahoma" w:eastAsia="Tahoma" w:hAnsi="Tahoma" w:cs="Tahoma"/>
                <w:bCs/>
                <w:color w:val="7F7F7F"/>
                <w:sz w:val="24"/>
                <w:szCs w:val="24"/>
              </w:rPr>
              <w:t>#</w:t>
            </w:r>
            <w:r w:rsidR="00775CAB" w:rsidRPr="00916DFA">
              <w:rPr>
                <w:rFonts w:ascii="Tahoma" w:eastAsia="Tahoma" w:hAnsi="Tahoma" w:cs="Tahoma"/>
                <w:bCs/>
                <w:color w:val="7F7F7F"/>
                <w:sz w:val="24"/>
                <w:szCs w:val="24"/>
              </w:rPr>
              <w:t>wynikifinansowe</w:t>
            </w:r>
            <w:r w:rsidR="004E7219" w:rsidRPr="00916DFA">
              <w:rPr>
                <w:rFonts w:ascii="Tahoma" w:eastAsia="Tahoma" w:hAnsi="Tahoma" w:cs="Tahoma"/>
                <w:bCs/>
                <w:color w:val="7F7F7F"/>
                <w:sz w:val="24"/>
                <w:szCs w:val="24"/>
              </w:rPr>
              <w:t xml:space="preserve"> </w:t>
            </w:r>
          </w:p>
          <w:p w14:paraId="7607BB6A" w14:textId="77777777" w:rsidR="00D824D3" w:rsidRPr="00916DFA" w:rsidRDefault="00D824D3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7F7F7F"/>
                <w:sz w:val="24"/>
                <w:szCs w:val="24"/>
              </w:rPr>
            </w:pPr>
          </w:p>
          <w:p w14:paraId="3D71A51E" w14:textId="44072B44" w:rsidR="00D51FBF" w:rsidRPr="00916DFA" w:rsidRDefault="00775CAB" w:rsidP="00D5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ahoma" w:eastAsia="Tahoma" w:hAnsi="Tahoma" w:cs="Tahoma"/>
                <w:b/>
                <w:color w:val="7F7F7F" w:themeColor="text1" w:themeTint="80"/>
              </w:rPr>
            </w:pPr>
            <w:r w:rsidRPr="00916DFA">
              <w:rPr>
                <w:rFonts w:ascii="Tahoma" w:eastAsia="Tahoma" w:hAnsi="Tahoma" w:cs="Tahoma"/>
                <w:b/>
                <w:color w:val="7F7F7F" w:themeColor="text1" w:themeTint="80"/>
              </w:rPr>
              <w:t>Komentarz prezesa Zarządu Budimeksu SA</w:t>
            </w:r>
          </w:p>
          <w:p w14:paraId="4136047E" w14:textId="4475F46E" w:rsidR="00D51FBF" w:rsidRPr="00916DFA" w:rsidRDefault="00AA6F3B" w:rsidP="00D5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ahoma" w:eastAsia="Tahoma" w:hAnsi="Tahoma" w:cs="Tahoma"/>
                <w:b/>
                <w:color w:val="7F7F7F" w:themeColor="text1" w:themeTint="80"/>
              </w:rPr>
            </w:pPr>
            <w:r w:rsidRPr="00916DFA">
              <w:rPr>
                <w:rFonts w:ascii="Tahoma" w:eastAsia="Tahoma" w:hAnsi="Tahoma" w:cs="Tahoma"/>
                <w:b/>
                <w:color w:val="7F7F7F" w:themeColor="text1" w:themeTint="80"/>
              </w:rPr>
              <w:t>Artura Popko</w:t>
            </w:r>
          </w:p>
          <w:p w14:paraId="1F08E350" w14:textId="0566BB87" w:rsidR="009A2A41" w:rsidRPr="00916DFA" w:rsidRDefault="009A2A41" w:rsidP="009A2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ahoma" w:eastAsia="Tahoma" w:hAnsi="Tahoma" w:cs="Tahoma"/>
                <w:b/>
                <w:color w:val="FFC000"/>
              </w:rPr>
            </w:pPr>
            <w:r w:rsidRPr="00916DFA">
              <w:rPr>
                <w:rFonts w:ascii="Tahoma" w:eastAsia="Tahoma" w:hAnsi="Tahoma" w:cs="Tahoma"/>
                <w:b/>
                <w:color w:val="FFC000"/>
              </w:rPr>
              <w:t xml:space="preserve">do danych finansowych Grupy Budimex </w:t>
            </w:r>
            <w:r w:rsidRPr="00916DFA">
              <w:rPr>
                <w:rFonts w:ascii="Tahoma" w:eastAsia="Tahoma" w:hAnsi="Tahoma" w:cs="Tahoma"/>
                <w:b/>
                <w:color w:val="FFC000"/>
              </w:rPr>
              <w:br/>
              <w:t xml:space="preserve">za </w:t>
            </w:r>
            <w:r w:rsidR="002A611E" w:rsidRPr="00916DFA">
              <w:rPr>
                <w:rFonts w:ascii="Tahoma" w:eastAsia="Tahoma" w:hAnsi="Tahoma" w:cs="Tahoma"/>
                <w:b/>
                <w:color w:val="FFC000"/>
              </w:rPr>
              <w:t>pierwsze półrocze</w:t>
            </w:r>
            <w:r w:rsidRPr="00916DFA">
              <w:rPr>
                <w:rFonts w:ascii="Tahoma" w:eastAsia="Tahoma" w:hAnsi="Tahoma" w:cs="Tahoma"/>
                <w:b/>
                <w:color w:val="FFC000"/>
              </w:rPr>
              <w:t xml:space="preserve"> </w:t>
            </w:r>
            <w:r w:rsidR="00432F24" w:rsidRPr="00916DFA">
              <w:rPr>
                <w:rFonts w:ascii="Tahoma" w:eastAsia="Tahoma" w:hAnsi="Tahoma" w:cs="Tahoma"/>
                <w:b/>
                <w:color w:val="FFC000"/>
              </w:rPr>
              <w:t xml:space="preserve">2025 </w:t>
            </w:r>
            <w:r w:rsidRPr="00916DFA">
              <w:rPr>
                <w:rFonts w:ascii="Tahoma" w:eastAsia="Tahoma" w:hAnsi="Tahoma" w:cs="Tahoma"/>
                <w:b/>
                <w:color w:val="FFC000"/>
              </w:rPr>
              <w:t>roku</w:t>
            </w:r>
          </w:p>
          <w:p w14:paraId="2D0A5BC2" w14:textId="77777777" w:rsidR="00A9414D" w:rsidRPr="00916DFA" w:rsidRDefault="00A9414D" w:rsidP="00B8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4ADDACEE" w14:textId="6FCD07E0" w:rsidR="00EC6D0F" w:rsidRPr="00916DFA" w:rsidRDefault="00EC6D0F" w:rsidP="006B3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258D1C91" w14:textId="638F1743" w:rsidR="00EC6D0F" w:rsidRPr="00916DFA" w:rsidRDefault="006B3FE7" w:rsidP="00EC6D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>Gru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pa Budimex </w:t>
            </w:r>
            <w:r w:rsidR="00253F83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po pierwszym półroczu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wypracowała zysk operacyjny na poziomie 302 milionów złotych (</w:t>
            </w:r>
            <w:r w:rsidR="00AA7F8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 porównaniu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do 296 milionów złotych w pierwszym półroczu 2024 roku) notując </w:t>
            </w:r>
            <w:r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>przy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tym wzrost rentowności z 7,3% do 7,6% </w:t>
            </w:r>
          </w:p>
          <w:p w14:paraId="6CC7AC92" w14:textId="70119EF1" w:rsidR="006B3FE7" w:rsidRPr="00916DFA" w:rsidRDefault="006B3FE7" w:rsidP="002F4A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>Rentowność brutto Grupy za drugi kwartał 2025</w:t>
            </w:r>
            <w:r w:rsidR="00DC25D8"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 xml:space="preserve"> r. </w:t>
            </w:r>
            <w:r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 xml:space="preserve">wyniosła 8,9% </w:t>
            </w:r>
            <w:r w:rsidR="00AA7F8D"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>w</w:t>
            </w:r>
            <w:r w:rsidR="00FF4B21"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> </w:t>
            </w:r>
            <w:r w:rsidR="00AA7F8D"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 xml:space="preserve"> porównaniu</w:t>
            </w:r>
            <w:r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 xml:space="preserve"> do 8,0% w 1 kwartale 2025 roku</w:t>
            </w:r>
          </w:p>
          <w:p w14:paraId="50A41C1E" w14:textId="4E345D4D" w:rsidR="0064173D" w:rsidRPr="00916DFA" w:rsidRDefault="0064173D" w:rsidP="002F4A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Grupa Budimex zakończyła pierwszą połowę 2025 roku z pozycją gotówkową netto przekraczającą 1,</w:t>
            </w:r>
            <w:r w:rsidR="002D3274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8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miliarda złotych</w:t>
            </w:r>
            <w:r w:rsidR="00675F8C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, inwestując przez ostatni rok </w:t>
            </w:r>
            <w:r w:rsidR="00071AC8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0,5 mld zł </w:t>
            </w:r>
            <w:r w:rsidR="00675F8C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 </w:t>
            </w:r>
            <w:r w:rsidR="00DD1229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rozwój </w:t>
            </w:r>
            <w:r w:rsidR="00675F8C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polsk</w:t>
            </w:r>
            <w:r w:rsidR="00DD1229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iej</w:t>
            </w:r>
            <w:r w:rsidR="00675F8C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gospodark</w:t>
            </w:r>
            <w:r w:rsidR="00DD1229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i</w:t>
            </w:r>
            <w:r w:rsidR="00687386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086190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– </w:t>
            </w:r>
            <w:r w:rsidR="00950D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wysokie płatności podatku dochodowego </w:t>
            </w:r>
            <w:r w:rsidR="006F4DD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CIT</w:t>
            </w:r>
            <w:r w:rsidR="00086190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,</w:t>
            </w:r>
            <w:r w:rsidR="006F4DD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inwestycje w</w:t>
            </w:r>
            <w:r w:rsidR="00D36FB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OZE </w:t>
            </w:r>
            <w:r w:rsidR="00950D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specjalistyczny </w:t>
            </w:r>
            <w:r w:rsidR="006F4DD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sprzęt</w:t>
            </w:r>
            <w:r w:rsidR="00950D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budowlany</w:t>
            </w:r>
            <w:r w:rsidR="006F4DD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950D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oraz </w:t>
            </w:r>
            <w:r w:rsidR="006F4DD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segment deweloperski</w:t>
            </w:r>
          </w:p>
          <w:p w14:paraId="171C3F7A" w14:textId="11B90904" w:rsidR="005E5841" w:rsidRPr="00916DFA" w:rsidRDefault="005E5841" w:rsidP="005E58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  <w:t xml:space="preserve">Grupa Budimex konsekwentnie realizuje politykę dywidendową, wypłacając za rok 2024 dywidendę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 wysokości 649 milionów </w:t>
            </w:r>
            <w:r w:rsidR="00AA7F8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złotych,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czyli 25,43 zł w przeliczeniu na jedną akcję</w:t>
            </w:r>
          </w:p>
          <w:p w14:paraId="0355A517" w14:textId="31BBEC96" w:rsidR="005E5841" w:rsidRPr="00916DFA" w:rsidRDefault="005E5841" w:rsidP="005E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ahoma" w:eastAsia="Tahoma" w:hAnsi="Tahoma" w:cs="Tahoma"/>
                <w:bCs/>
                <w:iCs/>
                <w:color w:val="808080"/>
                <w:sz w:val="18"/>
                <w:szCs w:val="18"/>
              </w:rPr>
            </w:pPr>
          </w:p>
          <w:p w14:paraId="3C9D00EF" w14:textId="77777777" w:rsidR="00C32C83" w:rsidRPr="00916DFA" w:rsidRDefault="00C32C83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</w:pPr>
          </w:p>
          <w:p w14:paraId="428679F8" w14:textId="7FF64CB6" w:rsidR="004C1457" w:rsidRPr="00916DFA" w:rsidRDefault="0011319E" w:rsidP="008B08FC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747678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Grupa Budimex w drugim kwartale 2025 r. osiągnęła </w:t>
            </w:r>
            <w:r w:rsidR="00DD1201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dobre</w:t>
            </w:r>
            <w:r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wyniki, </w:t>
            </w:r>
            <w:r w:rsidR="005A39EF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co świadczy o stabilnej pozycji rynkowej</w:t>
            </w:r>
            <w:r w:rsidR="008622B6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,</w:t>
            </w:r>
            <w:r w:rsidR="008B08FC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skuteczno</w:t>
            </w:r>
            <w:r w:rsidR="00012007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ści</w:t>
            </w:r>
            <w:r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A7F8D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w</w:t>
            </w:r>
            <w:r w:rsidR="005A3430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 </w:t>
            </w:r>
            <w:r w:rsidR="00AA7F8D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kontroli</w:t>
            </w:r>
            <w:r w:rsidR="003B1515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kosztów</w:t>
            </w:r>
            <w:r w:rsidR="008622B6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oraz </w:t>
            </w:r>
            <w:r w:rsidR="00D41EB1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o </w:t>
            </w:r>
            <w:r w:rsidR="008622B6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efektywn</w:t>
            </w:r>
            <w:r w:rsidR="00D41EB1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ym</w:t>
            </w:r>
            <w:r w:rsidR="008622B6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zarządzani</w:t>
            </w:r>
            <w:r w:rsidR="00D41EB1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u</w:t>
            </w:r>
            <w:r w:rsidR="008622B6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portfelem projektów</w:t>
            </w:r>
            <w:r w:rsidR="00421BEC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BA2DB3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Wyniki Grupy</w:t>
            </w:r>
            <w:r w:rsidR="00DC2A43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za drugi kwartał są lepsze niż w pierwszym kwartale 202</w:t>
            </w:r>
            <w:r w:rsidR="00421BEC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5</w:t>
            </w:r>
            <w:r w:rsidR="00874801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roku.</w:t>
            </w:r>
            <w:r w:rsidR="00132E81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74801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Mimo wyzwań </w:t>
            </w:r>
            <w:r w:rsidR="0015292B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na trudnym rynku budowlanym</w:t>
            </w:r>
            <w:r w:rsidR="00874801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w tym roku</w:t>
            </w:r>
            <w:r w:rsidR="00DD1201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>,</w:t>
            </w:r>
            <w:r w:rsidR="00874801" w:rsidRPr="00916DFA">
              <w:rPr>
                <w:rFonts w:ascii="Tahoma" w:eastAsia="Tahoma" w:hAnsi="Tahoma" w:cs="Tahoma"/>
                <w:b/>
                <w:color w:val="808080" w:themeColor="background1" w:themeShade="80"/>
                <w:sz w:val="18"/>
                <w:szCs w:val="18"/>
              </w:rPr>
              <w:t xml:space="preserve"> patrzymy na jego dalszy rozwój z optymizmem. </w:t>
            </w:r>
          </w:p>
          <w:p w14:paraId="61886233" w14:textId="77777777" w:rsidR="00C47A3A" w:rsidRPr="00916DFA" w:rsidRDefault="00C47A3A" w:rsidP="005B039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4C4371DD" w14:textId="2BB4CE55" w:rsidR="00961726" w:rsidRPr="00916DFA" w:rsidRDefault="00391BE2" w:rsidP="005B039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 segmencie budowlanym przychody</w:t>
            </w:r>
            <w:r w:rsidR="006F4DD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pozostały na porównywalnym poziomie względem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roku ubiegłego</w:t>
            </w:r>
            <w:r w:rsidR="00874801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. U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znajemy </w:t>
            </w:r>
            <w:r w:rsidR="00874801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to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za duży sukces</w:t>
            </w:r>
            <w:r w:rsidR="00874801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. Większość naszych kontraktów rozpoczętych w ostatnim roku jest </w:t>
            </w:r>
            <w:r w:rsidR="006F4DD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realizowana </w:t>
            </w:r>
            <w:r w:rsidR="00874801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 formule projektuj i buduj. W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porównaniu do ubiegłego roku</w:t>
            </w:r>
            <w:r w:rsidR="006F4DD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,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CF02B5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 </w:t>
            </w:r>
            <w:r w:rsidR="00CF02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strukturze</w:t>
            </w:r>
            <w:r w:rsidR="00CF02B5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Grupy Budimex</w:t>
            </w:r>
            <w:r w:rsidR="00CF02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,</w:t>
            </w:r>
            <w:r w:rsidR="00CF02B5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CF02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odnotowano wzrost udziału kontraktów, w przypadku których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rozpoznanie przychodów ze sprzedaży jest odroczone w czasie. W konsekwencji skonsolidowane przychody ze sprzedaży w pierwszej połowie roku wyniosły 3 947 milionów i były o 2,3% niższe niż w analogicznym okresie roku ubiegłego. </w:t>
            </w:r>
            <w:r w:rsidR="00DF6A22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Zysk brutto Grupy Budimex wyniósł </w:t>
            </w:r>
            <w:r w:rsidR="00FB58F8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3</w:t>
            </w:r>
            <w:r w:rsidR="00526D17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3</w:t>
            </w:r>
            <w:r w:rsidR="00FB58F8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6</w:t>
            </w:r>
            <w:r w:rsidR="00DF6A22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milion</w:t>
            </w:r>
            <w:r w:rsidR="00C04925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ów</w:t>
            </w:r>
            <w:r w:rsidR="00DF6A22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złotych przy rentowności </w:t>
            </w:r>
            <w:r w:rsidR="002564B3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8,5</w:t>
            </w:r>
            <w:r w:rsidR="00DF6A22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% w porównaniu do </w:t>
            </w:r>
            <w:r w:rsidR="002564B3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9,1</w:t>
            </w:r>
            <w:r w:rsidR="00DF6A22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% w pierwszym </w:t>
            </w:r>
            <w:r w:rsidR="00FB58F8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półroczu</w:t>
            </w:r>
            <w:r w:rsidR="00DF6A22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roku ubiegłego</w:t>
            </w:r>
            <w:r w:rsidR="00E20A4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co wynika z </w:t>
            </w:r>
            <w:r w:rsidR="009760D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niższ</w:t>
            </w:r>
            <w:r w:rsidR="00E20A4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ego</w:t>
            </w:r>
            <w:r w:rsidR="009760D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C6502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wynik</w:t>
            </w:r>
            <w:r w:rsidR="00E20A4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u</w:t>
            </w:r>
            <w:r w:rsidR="00C6502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na działalności </w:t>
            </w:r>
            <w:r w:rsidR="00C6502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lastRenderedPageBreak/>
              <w:t>finansowej</w:t>
            </w:r>
            <w:r w:rsidR="00E20A4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, który jest </w:t>
            </w:r>
            <w:r w:rsidR="009760D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konsekwencją</w:t>
            </w:r>
            <w:r w:rsidR="00AA7F8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niższ</w:t>
            </w:r>
            <w:r w:rsidR="009760D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ych</w:t>
            </w:r>
            <w:r w:rsidR="002564B3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odset</w:t>
            </w:r>
            <w:r w:rsidR="009760D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ek </w:t>
            </w:r>
            <w:r w:rsidR="002564B3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od posiadanych środków pieniężnych.</w:t>
            </w:r>
            <w:r w:rsidR="00DF6A22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</w:p>
          <w:p w14:paraId="40130C2A" w14:textId="77777777" w:rsidR="00B36D91" w:rsidRPr="00916DFA" w:rsidRDefault="00B36D91" w:rsidP="005B039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18F194B" w14:textId="77777777" w:rsidR="0064173D" w:rsidRPr="00916DFA" w:rsidRDefault="0064173D" w:rsidP="005B039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FF0000"/>
                <w:sz w:val="18"/>
                <w:szCs w:val="18"/>
              </w:rPr>
            </w:pPr>
          </w:p>
          <w:tbl>
            <w:tblPr>
              <w:tblW w:w="74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1418"/>
              <w:gridCol w:w="1417"/>
              <w:gridCol w:w="1732"/>
            </w:tblGrid>
            <w:tr w:rsidR="00B34FD8" w:rsidRPr="00916DFA" w14:paraId="32EEED99" w14:textId="77777777" w:rsidTr="00B34FD8">
              <w:trPr>
                <w:trHeight w:val="349"/>
              </w:trPr>
              <w:tc>
                <w:tcPr>
                  <w:tcW w:w="2875" w:type="dxa"/>
                  <w:vMerge w:val="restart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nil"/>
                  </w:tcBorders>
                  <w:shd w:val="clear" w:color="000000" w:fill="595959"/>
                  <w:vAlign w:val="center"/>
                  <w:hideMark/>
                </w:tcPr>
                <w:p w14:paraId="189714E3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2F2F2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F2F2F2"/>
                    </w:rPr>
                    <w:t>Grupa Budimex</w:t>
                  </w: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F2F2F2"/>
                    </w:rPr>
                    <w:br/>
                    <w:t>(mln zł.)</w:t>
                  </w:r>
                </w:p>
              </w:tc>
              <w:tc>
                <w:tcPr>
                  <w:tcW w:w="4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BFBFBF"/>
                  <w:noWrap/>
                  <w:vAlign w:val="center"/>
                  <w:hideMark/>
                </w:tcPr>
                <w:p w14:paraId="7709181C" w14:textId="77777777" w:rsidR="00B34FD8" w:rsidRPr="00916DFA" w:rsidRDefault="00B34FD8" w:rsidP="00B34FD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Rachunek zysków i strat</w:t>
                  </w:r>
                </w:p>
              </w:tc>
            </w:tr>
            <w:tr w:rsidR="00B34FD8" w:rsidRPr="00916DFA" w14:paraId="5C5B3B77" w14:textId="77777777" w:rsidTr="00B34FD8">
              <w:trPr>
                <w:trHeight w:val="540"/>
              </w:trPr>
              <w:tc>
                <w:tcPr>
                  <w:tcW w:w="2875" w:type="dxa"/>
                  <w:vMerge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31DD124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2F2F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79ECFB49" w14:textId="77777777" w:rsidR="00B34FD8" w:rsidRPr="00916DFA" w:rsidRDefault="00B34FD8" w:rsidP="00B34FD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000000"/>
                    </w:rPr>
                    <w:t>1 poł. 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3711BFA" w14:textId="77777777" w:rsidR="00B34FD8" w:rsidRPr="00916DFA" w:rsidRDefault="00B34FD8" w:rsidP="00B34FD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000000"/>
                    </w:rPr>
                    <w:t>1 poł. 2024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BFBFBF"/>
                  <w:noWrap/>
                  <w:vAlign w:val="center"/>
                  <w:hideMark/>
                </w:tcPr>
                <w:p w14:paraId="754B146B" w14:textId="77777777" w:rsidR="00B34FD8" w:rsidRPr="00916DFA" w:rsidRDefault="00B34FD8" w:rsidP="00B34FD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000000"/>
                    </w:rPr>
                    <w:t>r/r</w:t>
                  </w:r>
                </w:p>
              </w:tc>
            </w:tr>
            <w:tr w:rsidR="00B34FD8" w:rsidRPr="00916DFA" w14:paraId="2A86D895" w14:textId="77777777" w:rsidTr="00B34FD8">
              <w:trPr>
                <w:trHeight w:val="420"/>
              </w:trPr>
              <w:tc>
                <w:tcPr>
                  <w:tcW w:w="2875" w:type="dxa"/>
                  <w:tcBorders>
                    <w:top w:val="nil"/>
                    <w:left w:val="single" w:sz="8" w:space="0" w:color="FFC000"/>
                    <w:bottom w:val="single" w:sz="8" w:space="0" w:color="auto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330521F8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Sprzedaż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66F4E37C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3 947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5BC7F552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4 040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FFC000"/>
                  </w:tcBorders>
                  <w:shd w:val="clear" w:color="000000" w:fill="FFC000"/>
                  <w:noWrap/>
                  <w:vAlign w:val="center"/>
                  <w:hideMark/>
                </w:tcPr>
                <w:p w14:paraId="211B2C7F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-2,3%</w:t>
                  </w:r>
                </w:p>
              </w:tc>
            </w:tr>
            <w:tr w:rsidR="00B34FD8" w:rsidRPr="00916DFA" w14:paraId="44643C30" w14:textId="77777777" w:rsidTr="00B34FD8">
              <w:trPr>
                <w:trHeight w:val="420"/>
              </w:trPr>
              <w:tc>
                <w:tcPr>
                  <w:tcW w:w="287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22F9ACF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Zysk operacyjny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752A009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302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7D252E2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296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AC28B3B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2,0%</w:t>
                  </w:r>
                </w:p>
              </w:tc>
            </w:tr>
            <w:tr w:rsidR="00B34FD8" w:rsidRPr="00916DFA" w14:paraId="4EA79BEF" w14:textId="77777777" w:rsidTr="00B34FD8">
              <w:trPr>
                <w:trHeight w:val="252"/>
              </w:trPr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465CA8A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% sprzedaży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017E673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7,6%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FF0AD36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7,3%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F31A585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0,3p.p.</w:t>
                  </w:r>
                </w:p>
              </w:tc>
            </w:tr>
            <w:tr w:rsidR="00B34FD8" w:rsidRPr="00916DFA" w14:paraId="1001D187" w14:textId="77777777" w:rsidTr="00B34FD8">
              <w:trPr>
                <w:trHeight w:val="420"/>
              </w:trPr>
              <w:tc>
                <w:tcPr>
                  <w:tcW w:w="287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F15F7A5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Zysk brutto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8CA23EC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336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DD0EA4D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366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2B97672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-8,1%</w:t>
                  </w:r>
                </w:p>
              </w:tc>
            </w:tr>
            <w:tr w:rsidR="00B34FD8" w:rsidRPr="00916DFA" w14:paraId="23B59BDA" w14:textId="77777777" w:rsidTr="00B34FD8">
              <w:trPr>
                <w:trHeight w:val="252"/>
              </w:trPr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0CFE0EA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% sprzedaży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1F445AE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8,5%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321E16E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9,1%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5D1FBCC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-0,5p.p.</w:t>
                  </w:r>
                </w:p>
              </w:tc>
            </w:tr>
            <w:tr w:rsidR="00B34FD8" w:rsidRPr="00916DFA" w14:paraId="26212500" w14:textId="77777777" w:rsidTr="00B34FD8">
              <w:trPr>
                <w:trHeight w:val="525"/>
              </w:trPr>
              <w:tc>
                <w:tcPr>
                  <w:tcW w:w="287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928C367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 xml:space="preserve">Zysk netto* </w:t>
                  </w: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br/>
                  </w:r>
                  <w:r w:rsidRPr="00916DFA">
                    <w:rPr>
                      <w:rFonts w:ascii="Tahoma" w:eastAsia="Times New Roman" w:hAnsi="Tahoma" w:cs="Tahoma"/>
                      <w:color w:val="404040"/>
                      <w:sz w:val="16"/>
                      <w:szCs w:val="16"/>
                    </w:rPr>
                    <w:t>z działalności kontynuowanej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DD0BA6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270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A14D936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277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CDDDAD6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-2,3%</w:t>
                  </w:r>
                </w:p>
              </w:tc>
            </w:tr>
            <w:tr w:rsidR="00B34FD8" w:rsidRPr="00916DFA" w14:paraId="6B8FA3AE" w14:textId="77777777" w:rsidTr="00B34FD8">
              <w:trPr>
                <w:trHeight w:val="252"/>
              </w:trPr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09541FF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% sprzedaży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911BB09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6,9%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8413B96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6,9%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997B1E0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0,0p.p.</w:t>
                  </w:r>
                </w:p>
              </w:tc>
            </w:tr>
            <w:tr w:rsidR="00B34FD8" w:rsidRPr="00916DFA" w14:paraId="2D5813C6" w14:textId="77777777" w:rsidTr="00B34FD8">
              <w:trPr>
                <w:trHeight w:val="255"/>
              </w:trPr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00874B17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color w:val="404040"/>
                      <w:sz w:val="14"/>
                      <w:szCs w:val="14"/>
                    </w:rPr>
                  </w:pPr>
                  <w:r w:rsidRPr="00916DFA">
                    <w:rPr>
                      <w:rFonts w:ascii="Tahoma" w:eastAsia="Times New Roman" w:hAnsi="Tahoma" w:cs="Tahoma"/>
                      <w:i/>
                      <w:iCs/>
                      <w:color w:val="404040"/>
                      <w:sz w:val="14"/>
                      <w:szCs w:val="14"/>
                    </w:rPr>
                    <w:t>*przypadający akcjonariuszom Jednostki Dominującej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1587504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98DF51F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6015CF5" w14:textId="77777777" w:rsidR="00B34FD8" w:rsidRPr="00916DFA" w:rsidRDefault="00B34FD8" w:rsidP="00B34F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 </w:t>
                  </w:r>
                </w:p>
              </w:tc>
            </w:tr>
          </w:tbl>
          <w:p w14:paraId="0EAB0181" w14:textId="3DD45329" w:rsidR="006C059D" w:rsidRPr="00916DFA" w:rsidRDefault="006C059D" w:rsidP="005B039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245F7777" w14:textId="77777777" w:rsidR="0064173D" w:rsidRPr="00916DFA" w:rsidRDefault="0064173D" w:rsidP="00417A3F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FF0000"/>
                <w:sz w:val="18"/>
                <w:szCs w:val="18"/>
              </w:rPr>
            </w:pPr>
          </w:p>
          <w:p w14:paraId="4E5DF8F0" w14:textId="77777777" w:rsidR="00EC523F" w:rsidRPr="00EC523F" w:rsidRDefault="00EC523F" w:rsidP="00EC523F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</w:pPr>
            <w:r w:rsidRPr="00EC523F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>Produkcja budowlano-montażowa w pierwszej połowie 2025 roku (ceny bieżące) wzrosła rok do roku o 2,7% z poziomu 63,6 miliarda złotych do 65,4 miliarda złotych. W segmencie budynków produkcja sprzedana wzrosła o 5,4% natomiast w obszarze infrastrukturalnym ogółem nie odnotowano zmian.</w:t>
            </w:r>
          </w:p>
          <w:p w14:paraId="0623EDD3" w14:textId="77777777" w:rsidR="00EC523F" w:rsidRPr="00EC523F" w:rsidRDefault="00EC523F" w:rsidP="00EC523F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FF0000"/>
                <w:sz w:val="18"/>
                <w:szCs w:val="18"/>
              </w:rPr>
            </w:pPr>
          </w:p>
          <w:tbl>
            <w:tblPr>
              <w:tblW w:w="68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8"/>
              <w:gridCol w:w="1491"/>
              <w:gridCol w:w="1491"/>
              <w:gridCol w:w="1280"/>
            </w:tblGrid>
            <w:tr w:rsidR="00EC523F" w:rsidRPr="00EC523F" w14:paraId="3AC74DB7" w14:textId="77777777" w:rsidTr="00EC523F">
              <w:trPr>
                <w:trHeight w:val="388"/>
              </w:trPr>
              <w:tc>
                <w:tcPr>
                  <w:tcW w:w="257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59595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677AF1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  <w:color w:val="FFFFFF" w:themeColor="background1"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  <w:color w:val="FFFFFF" w:themeColor="background1"/>
                    </w:rPr>
                    <w:t>Sektor budownictwa</w:t>
                  </w:r>
                </w:p>
              </w:tc>
              <w:tc>
                <w:tcPr>
                  <w:tcW w:w="4262" w:type="dxa"/>
                  <w:gridSpan w:val="3"/>
                  <w:shd w:val="clear" w:color="auto" w:fill="BFBFB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BE4275F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  <w:color w:val="FFFFFF" w:themeColor="background1"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Dane statystyczne</w:t>
                  </w:r>
                  <w:r w:rsidRPr="00EC523F">
                    <w:rPr>
                      <w:rFonts w:ascii="Tahoma" w:eastAsia="Tahoma" w:hAnsi="Tahoma" w:cs="Tahoma"/>
                      <w:bCs/>
                    </w:rPr>
                    <w:t xml:space="preserve"> (mld zł)</w:t>
                  </w:r>
                </w:p>
              </w:tc>
            </w:tr>
            <w:tr w:rsidR="00EC523F" w:rsidRPr="00EC523F" w14:paraId="0AE6ACE4" w14:textId="77777777" w:rsidTr="00EC523F">
              <w:trPr>
                <w:trHeight w:val="598"/>
              </w:trPr>
              <w:tc>
                <w:tcPr>
                  <w:tcW w:w="257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AFD3608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BFBFB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F0E8E80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1 poł. 2025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BFBFB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C7D83D0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1 poł. 2024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BFBFB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636AF0F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r/r</w:t>
                  </w:r>
                </w:p>
              </w:tc>
            </w:tr>
            <w:tr w:rsidR="00EC523F" w:rsidRPr="00EC523F" w14:paraId="02EDE4C5" w14:textId="77777777" w:rsidTr="00EC523F">
              <w:trPr>
                <w:trHeight w:val="730"/>
              </w:trPr>
              <w:tc>
                <w:tcPr>
                  <w:tcW w:w="2578" w:type="dxa"/>
                  <w:tcBorders>
                    <w:top w:val="nil"/>
                    <w:left w:val="single" w:sz="8" w:space="0" w:color="FFC000"/>
                    <w:bottom w:val="single" w:sz="8" w:space="0" w:color="auto"/>
                    <w:right w:val="nil"/>
                  </w:tcBorders>
                  <w:shd w:val="clear" w:color="auto" w:fill="FFC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836385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 xml:space="preserve">Produkcja </w:t>
                  </w: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br/>
                    <w:t>sprzedana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C000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18DC41A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65,4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C000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6A8EAAB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63,6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C000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93F7811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2,7%</w:t>
                  </w:r>
                </w:p>
              </w:tc>
            </w:tr>
            <w:tr w:rsidR="00EC523F" w:rsidRPr="00EC523F" w14:paraId="630C618F" w14:textId="77777777" w:rsidTr="00EC523F">
              <w:trPr>
                <w:trHeight w:val="448"/>
              </w:trPr>
              <w:tc>
                <w:tcPr>
                  <w:tcW w:w="2578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6DFCB4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Budynki</w:t>
                  </w:r>
                </w:p>
              </w:tc>
              <w:tc>
                <w:tcPr>
                  <w:tcW w:w="1491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5848CDD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33,7</w:t>
                  </w:r>
                </w:p>
              </w:tc>
              <w:tc>
                <w:tcPr>
                  <w:tcW w:w="1491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1CD46D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32,0</w:t>
                  </w:r>
                </w:p>
              </w:tc>
              <w:tc>
                <w:tcPr>
                  <w:tcW w:w="1278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20E20C8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5,4%</w:t>
                  </w:r>
                </w:p>
              </w:tc>
            </w:tr>
            <w:tr w:rsidR="00EC523F" w:rsidRPr="00EC523F" w14:paraId="4948919D" w14:textId="77777777" w:rsidTr="00EC523F">
              <w:trPr>
                <w:trHeight w:val="315"/>
              </w:trPr>
              <w:tc>
                <w:tcPr>
                  <w:tcW w:w="2578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07A109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udział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B9BA4C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51,5%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82CE254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50,2%</w:t>
                  </w:r>
                </w:p>
              </w:tc>
              <w:tc>
                <w:tcPr>
                  <w:tcW w:w="1278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CF39FDD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1,3p.p.</w:t>
                  </w:r>
                </w:p>
              </w:tc>
            </w:tr>
            <w:tr w:rsidR="00EC523F" w:rsidRPr="00EC523F" w14:paraId="439B0FED" w14:textId="77777777" w:rsidTr="00EC523F">
              <w:trPr>
                <w:trHeight w:val="448"/>
              </w:trPr>
              <w:tc>
                <w:tcPr>
                  <w:tcW w:w="2578" w:type="dxa"/>
                  <w:tcBorders>
                    <w:top w:val="single" w:sz="8" w:space="0" w:color="000000"/>
                    <w:left w:val="nil"/>
                    <w:bottom w:val="dashed" w:sz="8" w:space="0" w:color="000000"/>
                    <w:right w:val="nil"/>
                  </w:tcBorders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00713F3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Inżynieria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dashed" w:sz="8" w:space="0" w:color="000000"/>
                    <w:right w:val="nil"/>
                  </w:tcBorders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94F193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31,7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dashed" w:sz="8" w:space="0" w:color="000000"/>
                    <w:right w:val="nil"/>
                  </w:tcBorders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F0452E5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31,7</w:t>
                  </w:r>
                </w:p>
              </w:tc>
              <w:tc>
                <w:tcPr>
                  <w:tcW w:w="1278" w:type="dxa"/>
                  <w:tcBorders>
                    <w:top w:val="single" w:sz="8" w:space="0" w:color="000000"/>
                    <w:left w:val="nil"/>
                    <w:bottom w:val="dashed" w:sz="8" w:space="0" w:color="000000"/>
                    <w:right w:val="nil"/>
                  </w:tcBorders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3ECEF09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/>
                      <w:bCs/>
                    </w:rPr>
                    <w:t>0,0%</w:t>
                  </w:r>
                </w:p>
              </w:tc>
            </w:tr>
            <w:tr w:rsidR="00EC523F" w:rsidRPr="00EC523F" w14:paraId="1BB969AC" w14:textId="77777777" w:rsidTr="00EC523F">
              <w:trPr>
                <w:trHeight w:val="365"/>
              </w:trPr>
              <w:tc>
                <w:tcPr>
                  <w:tcW w:w="2578" w:type="dxa"/>
                  <w:tcBorders>
                    <w:top w:val="nil"/>
                    <w:left w:val="nil"/>
                    <w:bottom w:val="dotted" w:sz="8" w:space="0" w:color="808080"/>
                    <w:right w:val="nil"/>
                  </w:tcBorders>
                  <w:shd w:val="clear" w:color="auto" w:fill="F9F9F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EBEC0E7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  <w:i/>
                      <w:i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  <w:i/>
                      <w:iCs/>
                    </w:rPr>
                    <w:t>w tym: drogi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dotted" w:sz="8" w:space="0" w:color="808080"/>
                    <w:right w:val="nil"/>
                  </w:tcBorders>
                  <w:shd w:val="clear" w:color="auto" w:fill="F9F9F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6FB3488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  <w:i/>
                      <w:i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  <w:i/>
                      <w:iCs/>
                    </w:rPr>
                    <w:t>11,6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dotted" w:sz="8" w:space="0" w:color="808080"/>
                    <w:right w:val="nil"/>
                  </w:tcBorders>
                  <w:shd w:val="clear" w:color="auto" w:fill="F9F9F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1B44B5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  <w:i/>
                      <w:i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  <w:i/>
                      <w:iCs/>
                    </w:rPr>
                    <w:t>12,1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dotted" w:sz="8" w:space="0" w:color="808080"/>
                    <w:right w:val="nil"/>
                  </w:tcBorders>
                  <w:shd w:val="clear" w:color="auto" w:fill="F9F9F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727C4E6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  <w:i/>
                      <w:i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  <w:i/>
                      <w:iCs/>
                    </w:rPr>
                    <w:t>-4,7%</w:t>
                  </w:r>
                </w:p>
              </w:tc>
            </w:tr>
            <w:tr w:rsidR="00EC523F" w:rsidRPr="00EC523F" w14:paraId="71EBEC1F" w14:textId="77777777" w:rsidTr="00EC523F">
              <w:trPr>
                <w:trHeight w:val="365"/>
              </w:trPr>
              <w:tc>
                <w:tcPr>
                  <w:tcW w:w="2578" w:type="dxa"/>
                  <w:tcBorders>
                    <w:top w:val="nil"/>
                    <w:left w:val="nil"/>
                    <w:bottom w:val="dotted" w:sz="8" w:space="0" w:color="808080"/>
                    <w:right w:val="nil"/>
                  </w:tcBorders>
                  <w:shd w:val="clear" w:color="auto" w:fill="F9F9F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317B537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  <w:i/>
                      <w:i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  <w:i/>
                      <w:iCs/>
                    </w:rPr>
                    <w:t>w tym: koleje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dotted" w:sz="8" w:space="0" w:color="808080"/>
                    <w:right w:val="nil"/>
                  </w:tcBorders>
                  <w:shd w:val="clear" w:color="auto" w:fill="F9F9F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F8FCEA1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  <w:i/>
                      <w:i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  <w:i/>
                      <w:iCs/>
                    </w:rPr>
                    <w:t>3,4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dotted" w:sz="8" w:space="0" w:color="808080"/>
                    <w:right w:val="nil"/>
                  </w:tcBorders>
                  <w:shd w:val="clear" w:color="auto" w:fill="F9F9F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F6D38D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  <w:i/>
                      <w:i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  <w:i/>
                      <w:iCs/>
                    </w:rPr>
                    <w:t>2,5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dotted" w:sz="8" w:space="0" w:color="808080"/>
                    <w:right w:val="nil"/>
                  </w:tcBorders>
                  <w:shd w:val="clear" w:color="auto" w:fill="F9F9F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1E92A1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  <w:i/>
                      <w:i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  <w:i/>
                      <w:iCs/>
                    </w:rPr>
                    <w:t>34,0%</w:t>
                  </w:r>
                </w:p>
              </w:tc>
            </w:tr>
            <w:tr w:rsidR="00EC523F" w:rsidRPr="00EC523F" w14:paraId="1ADA047E" w14:textId="77777777" w:rsidTr="00EC523F">
              <w:trPr>
                <w:trHeight w:val="315"/>
              </w:trPr>
              <w:tc>
                <w:tcPr>
                  <w:tcW w:w="2578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2CE65F7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udział</w:t>
                  </w:r>
                </w:p>
              </w:tc>
              <w:tc>
                <w:tcPr>
                  <w:tcW w:w="1491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32A5C38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48,5%</w:t>
                  </w:r>
                </w:p>
              </w:tc>
              <w:tc>
                <w:tcPr>
                  <w:tcW w:w="1491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B209F9F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49,8%</w:t>
                  </w:r>
                </w:p>
              </w:tc>
              <w:tc>
                <w:tcPr>
                  <w:tcW w:w="1278" w:type="dxa"/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9867FC" w14:textId="77777777" w:rsidR="00EC523F" w:rsidRPr="00EC523F" w:rsidRDefault="00EC523F" w:rsidP="00EC523F">
                  <w:pPr>
                    <w:spacing w:after="0" w:line="360" w:lineRule="auto"/>
                    <w:jc w:val="both"/>
                    <w:rPr>
                      <w:rFonts w:ascii="Tahoma" w:eastAsia="Tahoma" w:hAnsi="Tahoma" w:cs="Tahoma"/>
                      <w:bCs/>
                    </w:rPr>
                  </w:pPr>
                  <w:r w:rsidRPr="00EC523F">
                    <w:rPr>
                      <w:rFonts w:ascii="Tahoma" w:eastAsia="Tahoma" w:hAnsi="Tahoma" w:cs="Tahoma"/>
                      <w:bCs/>
                    </w:rPr>
                    <w:t>-1,3%p. p.</w:t>
                  </w:r>
                </w:p>
              </w:tc>
            </w:tr>
          </w:tbl>
          <w:p w14:paraId="7EA8DE56" w14:textId="77777777" w:rsidR="0064173D" w:rsidRPr="00916DFA" w:rsidRDefault="0064173D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698590A8" w14:textId="77777777" w:rsidR="00542066" w:rsidRPr="00916DFA" w:rsidRDefault="00542066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1E92074" w14:textId="15B49775" w:rsidR="00905ED1" w:rsidRPr="00916DFA" w:rsidRDefault="003C3A5B" w:rsidP="00905ED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Sprzedaż segmentu budowlanego Grupy Budimex wyniosła w pierwszej połowie 2025 roku 3 590 milionów złotych (bez zmian r/r), notując przy tym wzrost rentowności operacyjnej</w:t>
            </w:r>
            <w:r w:rsidR="00CF02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do 8,0%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(z 7,2%)</w:t>
            </w:r>
            <w:r w:rsidR="00DB3E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FA462E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oraz porównywalny</w:t>
            </w:r>
            <w:r w:rsidR="00DB3E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poziom rentownoś</w:t>
            </w:r>
            <w:r w:rsidR="00FA462E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ci</w:t>
            </w:r>
            <w:r w:rsidR="00DB3E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brutto</w:t>
            </w:r>
            <w:r w:rsidR="00FA462E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(z 9,1% do 9,0%). </w:t>
            </w:r>
            <w:r w:rsidR="00905ED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905ED1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lastRenderedPageBreak/>
              <w:t xml:space="preserve">Poprawa rentowności operacyjnej została odnotowana m.in. w segmencie ‎budownictwa kubaturowego‎. Stało się tak dzięki optymalizacji struktury portfela projektów kubaturowych i współpracy z klientami, umożliwiającej poprawę marży. </w:t>
            </w:r>
          </w:p>
          <w:p w14:paraId="55B418CD" w14:textId="77777777" w:rsidR="00AC3B50" w:rsidRPr="00916DFA" w:rsidRDefault="00AC3B50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72F1581C" w14:textId="77777777" w:rsidR="000B311C" w:rsidRPr="00916DFA" w:rsidRDefault="000B311C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460"/>
              <w:gridCol w:w="1480"/>
              <w:gridCol w:w="1260"/>
            </w:tblGrid>
            <w:tr w:rsidR="00A353F7" w:rsidRPr="00916DFA" w14:paraId="32F97099" w14:textId="77777777" w:rsidTr="0064173D">
              <w:trPr>
                <w:trHeight w:val="348"/>
              </w:trPr>
              <w:tc>
                <w:tcPr>
                  <w:tcW w:w="26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vAlign w:val="center"/>
                  <w:hideMark/>
                </w:tcPr>
                <w:p w14:paraId="031A6CEF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FFFFFF"/>
                    </w:rPr>
                    <w:t>Segment budowlany</w:t>
                  </w: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FFFFFF"/>
                    </w:rPr>
                    <w:br/>
                    <w:t>(mln zł.)</w:t>
                  </w:r>
                </w:p>
              </w:tc>
              <w:tc>
                <w:tcPr>
                  <w:tcW w:w="420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BFBFBF"/>
                  <w:noWrap/>
                  <w:vAlign w:val="center"/>
                  <w:hideMark/>
                </w:tcPr>
                <w:p w14:paraId="27D1B42A" w14:textId="77777777" w:rsidR="00A353F7" w:rsidRPr="00916DFA" w:rsidRDefault="00A353F7" w:rsidP="00A353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Rachunek zysków i strat</w:t>
                  </w:r>
                </w:p>
              </w:tc>
            </w:tr>
            <w:tr w:rsidR="00A353F7" w:rsidRPr="00916DFA" w14:paraId="4F4F0D19" w14:textId="77777777" w:rsidTr="0064173D">
              <w:trPr>
                <w:trHeight w:val="540"/>
              </w:trPr>
              <w:tc>
                <w:tcPr>
                  <w:tcW w:w="26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61770C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0420DC8F" w14:textId="77777777" w:rsidR="00A353F7" w:rsidRPr="00916DFA" w:rsidRDefault="00A353F7" w:rsidP="00A353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000000"/>
                    </w:rPr>
                    <w:t>1 poł. 2025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BB9FB37" w14:textId="77777777" w:rsidR="00A353F7" w:rsidRPr="00916DFA" w:rsidRDefault="00A353F7" w:rsidP="00A353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000000"/>
                    </w:rPr>
                    <w:t>1 poł. 2024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BFBFBF"/>
                  <w:noWrap/>
                  <w:vAlign w:val="center"/>
                  <w:hideMark/>
                </w:tcPr>
                <w:p w14:paraId="28E75FB3" w14:textId="77777777" w:rsidR="00A353F7" w:rsidRPr="00916DFA" w:rsidRDefault="00A353F7" w:rsidP="00A353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000000"/>
                    </w:rPr>
                    <w:t>r/r</w:t>
                  </w:r>
                </w:p>
              </w:tc>
            </w:tr>
            <w:tr w:rsidR="00A353F7" w:rsidRPr="00916DFA" w14:paraId="1E5D08F1" w14:textId="77777777" w:rsidTr="0064173D">
              <w:trPr>
                <w:trHeight w:val="420"/>
              </w:trPr>
              <w:tc>
                <w:tcPr>
                  <w:tcW w:w="26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26B66554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Sprzedaż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3E5A1AE9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3 590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21C73CDB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3 590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737659B9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0,0%</w:t>
                  </w:r>
                </w:p>
              </w:tc>
            </w:tr>
            <w:tr w:rsidR="00A353F7" w:rsidRPr="00916DFA" w14:paraId="091AD691" w14:textId="77777777" w:rsidTr="0064173D">
              <w:trPr>
                <w:trHeight w:val="420"/>
              </w:trPr>
              <w:tc>
                <w:tcPr>
                  <w:tcW w:w="26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22CCD67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Zysk operacyjny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BD0F00A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286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99580C7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257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77A47A1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11,1%</w:t>
                  </w:r>
                </w:p>
              </w:tc>
            </w:tr>
            <w:tr w:rsidR="00A353F7" w:rsidRPr="00916DFA" w14:paraId="73067053" w14:textId="77777777" w:rsidTr="0064173D">
              <w:trPr>
                <w:trHeight w:val="252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5A61B71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% sprzedaży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077A2AE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8,0%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8A8C4E0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7,2%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D95B324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0,8p.p.</w:t>
                  </w:r>
                </w:p>
              </w:tc>
            </w:tr>
            <w:tr w:rsidR="00A353F7" w:rsidRPr="00916DFA" w14:paraId="4242582E" w14:textId="77777777" w:rsidTr="0064173D">
              <w:trPr>
                <w:trHeight w:val="420"/>
              </w:trPr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91010EB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Zysk brutto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865EF72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323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99FCDB7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327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2A3D57F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-1,2%</w:t>
                  </w:r>
                </w:p>
              </w:tc>
            </w:tr>
            <w:tr w:rsidR="00A353F7" w:rsidRPr="00916DFA" w14:paraId="66DB851F" w14:textId="77777777" w:rsidTr="0064173D">
              <w:trPr>
                <w:trHeight w:val="252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63DBDE6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% sprzedaży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9AAC439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9,0%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73683DD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9,1%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16DA83B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-0,1p.p.</w:t>
                  </w:r>
                </w:p>
              </w:tc>
            </w:tr>
            <w:tr w:rsidR="00A353F7" w:rsidRPr="00916DFA" w14:paraId="48FFEAF3" w14:textId="77777777" w:rsidTr="0064173D">
              <w:trPr>
                <w:trHeight w:val="504"/>
              </w:trPr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E8EDE1E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Portfel zamówień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9EBDA66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17 046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826490F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15 344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FCD7B4C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11,1%</w:t>
                  </w:r>
                </w:p>
              </w:tc>
            </w:tr>
            <w:tr w:rsidR="00A353F7" w:rsidRPr="00916DFA" w14:paraId="251B1558" w14:textId="77777777" w:rsidTr="0064173D">
              <w:trPr>
                <w:trHeight w:val="504"/>
              </w:trPr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CE54C0A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Kontraktacja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3A2D45B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2 457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8B96DCB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5 661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CB5CA35" w14:textId="77777777" w:rsidR="00A353F7" w:rsidRPr="00916DFA" w:rsidRDefault="00A353F7" w:rsidP="00A353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-56,6%</w:t>
                  </w:r>
                </w:p>
              </w:tc>
            </w:tr>
          </w:tbl>
          <w:p w14:paraId="775F63AC" w14:textId="77777777" w:rsidR="003C3A5B" w:rsidRPr="00916DFA" w:rsidRDefault="003C3A5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41346C7C" w14:textId="77777777" w:rsidR="003C3A5B" w:rsidRPr="00916DFA" w:rsidRDefault="003C3A5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1332ABDD" w14:textId="197A5A9D" w:rsidR="003C3A5B" w:rsidRPr="00916DFA" w:rsidRDefault="003C3A5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Poziom zrealizowanych przychodów ze sprzedaży w pierwszej połowie 2025 roku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br/>
              <w:t xml:space="preserve">w segmencie budowlanym, w porównaniu do analogicznego okresu ubiegłego roku, nie uległ zmianie. Zwiększył się natomiast udział sprzedaży </w:t>
            </w:r>
            <w:r w:rsidR="00AC3D9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wewnątrzgrupowej</w:t>
            </w:r>
            <w:r w:rsidR="00CB7F9A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,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realizowan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ej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CB7F9A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przez Budimex SA 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na rzecz </w:t>
            </w:r>
            <w:r w:rsidR="00CB7F9A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spółek zależnych</w:t>
            </w:r>
            <w:r w:rsidR="00AC3D9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,</w:t>
            </w:r>
            <w:r w:rsidR="00CB7F9A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AC3D9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m.in. 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z tytułu budowy farm fotowoltaicznych „Azalia” oraz „Kamelia”. K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rótkoterminowo </w:t>
            </w:r>
            <w:r w:rsidR="00DB3E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skutkuje to ograniczeniem 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skonsolidowan</w:t>
            </w:r>
            <w:r w:rsidR="00DB3E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ego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poziom</w:t>
            </w:r>
            <w:r w:rsidR="00DB3EB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u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sprzedaż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y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Grupy z uwagi na eliminacje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obrotów wewnętrznych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, 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jednak</w:t>
            </w:r>
            <w:r w:rsidR="00AC3D9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 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perspektywie </w:t>
            </w:r>
            <w:r w:rsidR="00CB7F9A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nadchodzących </w:t>
            </w:r>
            <w:r w:rsidR="00B03837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kwartałów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, uruchomienie farm fotowoltaicznych</w:t>
            </w:r>
            <w:r w:rsidR="00B03837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zapewni 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Grupie wzmocnienie rentowności</w:t>
            </w:r>
            <w:r w:rsidR="00AC3D9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operacyjnej </w:t>
            </w:r>
            <w:r w:rsidR="00D91DCD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oraz </w:t>
            </w:r>
            <w:r w:rsidR="00AC3D9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będzie pozytywnie wspierać generowane przepływy pieniężne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.</w:t>
            </w:r>
          </w:p>
          <w:p w14:paraId="19F7F675" w14:textId="77777777" w:rsidR="003C3A5B" w:rsidRPr="00916DFA" w:rsidRDefault="003C3A5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8B6B0AF" w14:textId="77777777" w:rsidR="003C3A5B" w:rsidRPr="00916DFA" w:rsidRDefault="003C3A5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 pierwszej połowie roku 2025 zauważalnie zwiększył się poziom przychodów osiąganych przez odziały zagraniczne Budimex SA, na rynku czeskim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br/>
              <w:t>i słowackim. Wzrost ten jest konsekwencją realizacji zagranicznych kontraktów budowlanych, pozyskiwanych w ramach przyjętego kilka lat temu i konsekwentnie realizowanego kierunku dywersyfikacji geograficznej portfela budowlanego Grupy.</w:t>
            </w:r>
          </w:p>
          <w:p w14:paraId="73A4FCAB" w14:textId="77777777" w:rsidR="003C3A5B" w:rsidRPr="00916DFA" w:rsidRDefault="003C3A5B" w:rsidP="003C3A5B">
            <w:pPr>
              <w:tabs>
                <w:tab w:val="left" w:pos="2178"/>
              </w:tabs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EB9035C" w14:textId="5A1B38AC" w:rsidR="00993EFC" w:rsidRDefault="00993EFC" w:rsidP="00993EFC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</w:pPr>
          </w:p>
          <w:p w14:paraId="3E3C5466" w14:textId="02D0CB24" w:rsidR="00E632D0" w:rsidRPr="00E632D0" w:rsidRDefault="00E632D0" w:rsidP="00993EFC">
            <w:pPr>
              <w:spacing w:line="360" w:lineRule="auto"/>
              <w:jc w:val="both"/>
              <w:rPr>
                <w:rFonts w:ascii="Tahoma" w:eastAsia="Tahoma" w:hAnsi="Tahoma" w:cs="Tahoma"/>
                <w:b/>
                <w:color w:val="7F7F7F" w:themeColor="text1" w:themeTint="80"/>
                <w:sz w:val="18"/>
                <w:szCs w:val="18"/>
              </w:rPr>
            </w:pPr>
            <w:r w:rsidRPr="00E632D0">
              <w:rPr>
                <w:rFonts w:ascii="Tahoma" w:eastAsia="Tahoma" w:hAnsi="Tahoma" w:cs="Tahoma"/>
                <w:b/>
                <w:color w:val="7F7F7F" w:themeColor="text1" w:themeTint="80"/>
                <w:sz w:val="18"/>
                <w:szCs w:val="18"/>
              </w:rPr>
              <w:t>Portfel zamówień i pozycja gotówkowa</w:t>
            </w:r>
          </w:p>
          <w:p w14:paraId="112FA9E0" w14:textId="77777777" w:rsidR="00DD1201" w:rsidRPr="00916DFA" w:rsidRDefault="00DD1201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</w:pPr>
          </w:p>
          <w:p w14:paraId="447EBC9A" w14:textId="77777777" w:rsidR="00E128E1" w:rsidRDefault="003C3A5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Portfel zamówień Grupy Budimex na koniec czerwca 2025 roku wyniósł 17 </w:t>
            </w:r>
            <w:r w:rsidR="0056370E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miliardów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złotych. Wysoka wartość portfela zamówień zabezpiecza Grupie front prac na cały bieżący rok i większość roku 2026, jak również część roku 2027. Intensywna praca nad </w:t>
            </w:r>
            <w:r w:rsidR="000E3CEC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nowymi ofertami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sprawiła, że ‎wartość projektów oczekujących na podpisanie oraz takich, gdzie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lastRenderedPageBreak/>
              <w:t>oferta Budimex lub spółek z Grupy została oceniona najwyżej to aktualnie około 8,5 miliarda złotych</w:t>
            </w:r>
            <w:r w:rsidR="00950D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.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EC523F" w:rsidRPr="00022028"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  <w:t>W pierwszej połowie 2025 roku pozyskaliśmy kontrakty o wartości 2 457 milionów złotych.</w:t>
            </w:r>
            <w:r w:rsidR="00EC523F" w:rsidRPr="00916DFA"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6909E1CF" w14:textId="77777777" w:rsidR="00E128E1" w:rsidRDefault="00E128E1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</w:pPr>
          </w:p>
          <w:p w14:paraId="58E49049" w14:textId="4D163C08" w:rsidR="003C3A5B" w:rsidRPr="00EC523F" w:rsidRDefault="003C3A5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 perspektywie nadchodzących kwartałów daje to możliwość odpowiedzialnego podejścia do ofertowania w </w:t>
            </w:r>
            <w:r w:rsidR="00950D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przyszłych postępowaniach przetargowych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. Dodatkowo, w marcu 2025 roku</w:t>
            </w:r>
            <w:r w:rsidR="00950D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,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konsorcjum z udziałem Budimex S.A. </w:t>
            </w:r>
            <w:r w:rsidR="003D7256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podpisało umowę ramową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na ‎zaprojektowanie i budowę głównej linii 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Rail</w:t>
            </w:r>
            <w:proofErr w:type="spellEnd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Baltica</w:t>
            </w:r>
            <w:proofErr w:type="spellEnd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 Estonii, na odcinku ‎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Pärnu</w:t>
            </w:r>
            <w:proofErr w:type="spellEnd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– granica Łotwy o łącznej wartości 332 milionów euro ‎‎(około 1,4 miliarda złotych). Budimex posiada 40-procentowy udział w budowlanej części kontraktu.‎ Stanowi to kolejny krok</w:t>
            </w:r>
            <w:r w:rsidR="00B17034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 kierunku ekspansji i rozwoju na rynkach zagranicznych. </w:t>
            </w:r>
          </w:p>
          <w:p w14:paraId="538023A6" w14:textId="77777777" w:rsidR="003C3A5B" w:rsidRPr="00916DFA" w:rsidRDefault="003C3A5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B7B1A8F" w14:textId="6E73BEC4" w:rsidR="00BF3A6B" w:rsidRDefault="003C3A5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Grupa Budimex zakończyła pierwszą połowę 2025 roku z pozycją gotówkową netto przekraczającą 1,</w:t>
            </w:r>
            <w:r w:rsidR="002D3274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8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miliarda złotych. Obniżenie poziomu gotówki</w:t>
            </w:r>
            <w:r w:rsidR="002A13D9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 drugim kwartale bieżącego roku w stosunku do końca roku 2024 było spowodowane przede wszystkim wysokimi płatnościami podatku dochodowego CIT</w:t>
            </w:r>
            <w:r w:rsidR="00916DFA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,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realizowaniem programów inwestycyjnych</w:t>
            </w:r>
            <w:r w:rsid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wspierających polską gospodarkę,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 zakresie budowy odnawialnych źródeł energi</w:t>
            </w:r>
            <w:r w:rsidR="00FA2F2C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i,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rozbudow</w:t>
            </w:r>
            <w:r w:rsid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y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drogowej i kolejowej bazy sprzętowej</w:t>
            </w:r>
            <w:r w:rsidR="00FA2F2C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, </w:t>
            </w:r>
            <w:r w:rsidR="00C9448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a także rozwijaniem działalności deweloperskiej</w:t>
            </w:r>
            <w:r w:rsidR="00177E6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FF2DA7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i </w:t>
            </w:r>
            <w:r w:rsidR="00177E6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wypłatą dywidendy</w:t>
            </w:r>
            <w:r w:rsidR="00C27161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akcjonariuszom</w:t>
            </w:r>
            <w:r w:rsidR="00177E6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 wysokości 649 milionów złotych</w:t>
            </w:r>
            <w:r w:rsidR="00BF3A6B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.</w:t>
            </w:r>
            <w:r w:rsidR="00E24C39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Sezonowo</w:t>
            </w:r>
            <w:r w:rsidR="004A6BB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zwiększyliśmy zaangażowanie środków finansowych w kapitał obrotowy. </w:t>
            </w:r>
            <w:r w:rsidR="00BF3A6B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</w:p>
          <w:p w14:paraId="2DA296C6" w14:textId="77777777" w:rsidR="00BF3A6B" w:rsidRDefault="00BF3A6B" w:rsidP="003C3A5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37CEAE0D" w14:textId="26E9E6AB" w:rsidR="00EC523F" w:rsidRDefault="003912A8" w:rsidP="00745755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Budimex jako jeden z największych płatników CIT w branży</w:t>
            </w:r>
            <w:r w:rsidR="00950D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,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odprowadza co roku kilkaset milionów złotych podatków, istotnie wspierając budżet Państwa.</w:t>
            </w:r>
            <w:r w:rsidR="003C3A5B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D9301F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Od 2012 roku Budimex wpłacił tylko z tytuł</w:t>
            </w:r>
            <w:r w:rsidR="000C3632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u</w:t>
            </w:r>
            <w:r w:rsidR="00D9301F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podatku CIT 1</w:t>
            </w:r>
            <w:r w:rsidR="00931A58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,4 mld </w:t>
            </w:r>
            <w:r w:rsidR="00D9301F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podatku do Skarbu Państwa. </w:t>
            </w:r>
            <w:r w:rsid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Dzięki temu, że </w:t>
            </w:r>
            <w:r w:rsidR="00BD065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spółka </w:t>
            </w:r>
            <w:r w:rsid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jest zarejestrowan</w:t>
            </w:r>
            <w:r w:rsidR="00BD065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a</w:t>
            </w:r>
            <w:r w:rsid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 Polsce i tu prowadzi swoją działalność od blisko sześćdziesięciu lat, </w:t>
            </w:r>
            <w:r w:rsidR="00445715" w:rsidRP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pieniądze</w:t>
            </w:r>
            <w:r w:rsidR="00BD065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te</w:t>
            </w:r>
            <w:r w:rsidR="00445715" w:rsidRP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BD065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realnie</w:t>
            </w:r>
            <w:r w:rsidR="00445715" w:rsidRP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finansują polską edukację, ochronę zdrowia i rozwój ‎regionalny‎</w:t>
            </w:r>
            <w:r w:rsid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.</w:t>
            </w:r>
            <w:r w:rsidR="00445715" w:rsidRPr="00445715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</w:p>
          <w:p w14:paraId="1A80094A" w14:textId="77777777" w:rsidR="00AE4A40" w:rsidRPr="00916DFA" w:rsidRDefault="00AE4A40" w:rsidP="00745755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F85D752" w14:textId="7642EE08" w:rsidR="00132E81" w:rsidRPr="00916DFA" w:rsidRDefault="00F30FB2" w:rsidP="00D4399C">
            <w:pPr>
              <w:spacing w:line="360" w:lineRule="auto"/>
              <w:jc w:val="both"/>
              <w:rPr>
                <w:rFonts w:ascii="Tahoma" w:eastAsia="Tahoma" w:hAnsi="Tahoma" w:cs="Tahoma"/>
                <w:b/>
                <w:noProof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/>
                <w:noProof/>
                <w:color w:val="808080"/>
                <w:sz w:val="18"/>
                <w:szCs w:val="18"/>
              </w:rPr>
              <w:t xml:space="preserve">Grupa FBSerwis znacząco poprawiła rentowność </w:t>
            </w:r>
          </w:p>
          <w:p w14:paraId="16D4721A" w14:textId="77777777" w:rsidR="00F30FB2" w:rsidRPr="00916DFA" w:rsidRDefault="00F30FB2" w:rsidP="00D4399C">
            <w:pPr>
              <w:spacing w:line="360" w:lineRule="auto"/>
              <w:jc w:val="both"/>
              <w:rPr>
                <w:rStyle w:val="Odwoaniedokomentarza"/>
                <w:rFonts w:ascii="Tahoma" w:eastAsia="Tahoma" w:hAnsi="Tahoma" w:cs="Tahoma"/>
                <w:b/>
                <w:color w:val="808080"/>
                <w:sz w:val="18"/>
                <w:szCs w:val="18"/>
              </w:rPr>
            </w:pPr>
          </w:p>
          <w:tbl>
            <w:tblPr>
              <w:tblW w:w="6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1420"/>
              <w:gridCol w:w="1440"/>
              <w:gridCol w:w="1240"/>
            </w:tblGrid>
            <w:tr w:rsidR="00173E11" w:rsidRPr="00916DFA" w14:paraId="6ADA0BD1" w14:textId="77777777" w:rsidTr="00173E11">
              <w:trPr>
                <w:trHeight w:val="349"/>
              </w:trPr>
              <w:tc>
                <w:tcPr>
                  <w:tcW w:w="25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95959"/>
                  <w:vAlign w:val="center"/>
                  <w:hideMark/>
                </w:tcPr>
                <w:p w14:paraId="3F6D41E4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FFFFFF"/>
                    </w:rPr>
                    <w:t>Segment usługowy</w:t>
                  </w: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FFFFFF"/>
                    </w:rPr>
                    <w:br/>
                    <w:t>(mln zł.)</w:t>
                  </w:r>
                </w:p>
              </w:tc>
              <w:tc>
                <w:tcPr>
                  <w:tcW w:w="410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BFBFBF"/>
                  <w:noWrap/>
                  <w:vAlign w:val="center"/>
                  <w:hideMark/>
                </w:tcPr>
                <w:p w14:paraId="5D85A364" w14:textId="77777777" w:rsidR="00173E11" w:rsidRPr="00916DFA" w:rsidRDefault="00173E11" w:rsidP="00173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Rachunek zysków i strat</w:t>
                  </w:r>
                </w:p>
              </w:tc>
            </w:tr>
            <w:tr w:rsidR="00173E11" w:rsidRPr="00916DFA" w14:paraId="31EF0580" w14:textId="77777777" w:rsidTr="00173E11">
              <w:trPr>
                <w:trHeight w:val="525"/>
              </w:trPr>
              <w:tc>
                <w:tcPr>
                  <w:tcW w:w="25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043E9F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FE3309B" w14:textId="77777777" w:rsidR="00173E11" w:rsidRPr="00916DFA" w:rsidRDefault="00173E11" w:rsidP="00173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000000"/>
                    </w:rPr>
                    <w:t>1 poł. 2025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9CC71CA" w14:textId="77777777" w:rsidR="00173E11" w:rsidRPr="00916DFA" w:rsidRDefault="00173E11" w:rsidP="00173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000000"/>
                    </w:rPr>
                    <w:t>1 poł. 2024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BFBFBF"/>
                  <w:noWrap/>
                  <w:vAlign w:val="center"/>
                  <w:hideMark/>
                </w:tcPr>
                <w:p w14:paraId="63363729" w14:textId="77777777" w:rsidR="00173E11" w:rsidRPr="00916DFA" w:rsidRDefault="00173E11" w:rsidP="00173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000000"/>
                    </w:rPr>
                    <w:t>r/r</w:t>
                  </w:r>
                </w:p>
              </w:tc>
            </w:tr>
            <w:tr w:rsidR="00173E11" w:rsidRPr="00916DFA" w14:paraId="777E405C" w14:textId="77777777" w:rsidTr="00173E11">
              <w:trPr>
                <w:trHeight w:val="420"/>
              </w:trPr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39B2BEAA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Sprzedaż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19495E52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444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2EB42C1C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463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center"/>
                  <w:hideMark/>
                </w:tcPr>
                <w:p w14:paraId="510CEA1D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-4,1%</w:t>
                  </w:r>
                </w:p>
              </w:tc>
            </w:tr>
            <w:tr w:rsidR="00173E11" w:rsidRPr="00916DFA" w14:paraId="6B6B6363" w14:textId="77777777" w:rsidTr="00173E11">
              <w:trPr>
                <w:trHeight w:val="420"/>
              </w:trPr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17803DB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Zysk operacyjny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438BAE8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46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F6721A8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38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2831FE5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19,2%</w:t>
                  </w:r>
                </w:p>
              </w:tc>
            </w:tr>
            <w:tr w:rsidR="00173E11" w:rsidRPr="00916DFA" w14:paraId="5D5595B2" w14:textId="77777777" w:rsidTr="00173E11">
              <w:trPr>
                <w:trHeight w:val="252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1D0CCF2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% sprzedaży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2531CAF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10,3%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98024F7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8,3%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416E4D4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2,0p.p.</w:t>
                  </w:r>
                </w:p>
              </w:tc>
            </w:tr>
            <w:tr w:rsidR="00173E11" w:rsidRPr="00916DFA" w14:paraId="336C851E" w14:textId="77777777" w:rsidTr="00173E11">
              <w:trPr>
                <w:trHeight w:val="420"/>
              </w:trPr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75CB118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Zysk brutto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A02C0FA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45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6B2402A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41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F546327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b/>
                      <w:bCs/>
                      <w:color w:val="404040"/>
                    </w:rPr>
                    <w:t>11,9%</w:t>
                  </w:r>
                </w:p>
              </w:tc>
            </w:tr>
            <w:tr w:rsidR="00173E11" w:rsidRPr="00916DFA" w14:paraId="2F16B3AC" w14:textId="77777777" w:rsidTr="00173E11">
              <w:trPr>
                <w:trHeight w:val="252"/>
              </w:trPr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53BA158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% sprzedaży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BA997D1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10,2%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4320783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8,8%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E571D95" w14:textId="77777777" w:rsidR="00173E11" w:rsidRPr="00916DFA" w:rsidRDefault="00173E11" w:rsidP="00173E1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04040"/>
                    </w:rPr>
                  </w:pPr>
                  <w:r w:rsidRPr="00916DFA">
                    <w:rPr>
                      <w:rFonts w:ascii="Tahoma" w:eastAsia="Times New Roman" w:hAnsi="Tahoma" w:cs="Tahoma"/>
                      <w:color w:val="404040"/>
                    </w:rPr>
                    <w:t>1,5p.p.</w:t>
                  </w:r>
                </w:p>
              </w:tc>
            </w:tr>
          </w:tbl>
          <w:p w14:paraId="307553FE" w14:textId="32AFF2D3" w:rsidR="00D4399C" w:rsidRPr="00916DFA" w:rsidRDefault="00D4399C" w:rsidP="00D4399C">
            <w:pPr>
              <w:spacing w:line="360" w:lineRule="auto"/>
              <w:jc w:val="both"/>
              <w:rPr>
                <w:rStyle w:val="Odwoaniedokomentarza"/>
                <w:bCs/>
              </w:rPr>
            </w:pPr>
          </w:p>
          <w:p w14:paraId="3C880982" w14:textId="63BC3EB2" w:rsidR="00277101" w:rsidRPr="00916DFA" w:rsidRDefault="00277101" w:rsidP="00277101">
            <w:pPr>
              <w:rPr>
                <w:bCs/>
              </w:rPr>
            </w:pPr>
            <w:bookmarkStart w:id="0" w:name="_Hlk77692426"/>
            <w:bookmarkStart w:id="1" w:name="_Hlk100758814"/>
          </w:p>
          <w:bookmarkEnd w:id="0"/>
          <w:bookmarkEnd w:id="1"/>
          <w:p w14:paraId="460B8442" w14:textId="7C85F337" w:rsidR="00B4268C" w:rsidRPr="00916DFA" w:rsidRDefault="00B4268C" w:rsidP="00B4268C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lastRenderedPageBreak/>
              <w:t xml:space="preserve">Po pierwszej połowie roku, Grupa 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FBSerwis</w:t>
            </w:r>
            <w:proofErr w:type="spellEnd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C1268C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osiągnęła porównywalny poziom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przychodów ze sprzedaży jednocześnie znacząco poprawiając rentowność. </w:t>
            </w:r>
            <w:r w:rsidRPr="00EC523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Grup</w:t>
            </w:r>
            <w:r w:rsidR="006E5116" w:rsidRPr="00EC523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a</w:t>
            </w:r>
            <w:r w:rsidRPr="00EC523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EC523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FBSerwis</w:t>
            </w:r>
            <w:proofErr w:type="spellEnd"/>
            <w:r w:rsidRPr="00EC523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wypracowała zysk operacyjny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na poziomie 52 milionów złotych (w porównaniu do 42 milionów złotych po dwóch kwartałach 2024), notując przy tym wzrost rentowności z 9,2% do 11,8%.</w:t>
            </w:r>
          </w:p>
          <w:p w14:paraId="0F3C01F1" w14:textId="77777777" w:rsidR="00171669" w:rsidRPr="00916DFA" w:rsidRDefault="00171669" w:rsidP="00B4268C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293CE7A4" w14:textId="3CF11EB8" w:rsidR="00171669" w:rsidRDefault="00171669" w:rsidP="00171669">
            <w:pPr>
              <w:spacing w:line="360" w:lineRule="auto"/>
              <w:jc w:val="both"/>
              <w:rPr>
                <w:rFonts w:ascii="Tahoma" w:eastAsia="Tahoma" w:hAnsi="Tahoma" w:cs="Tahoma"/>
                <w:b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/>
                <w:color w:val="808080"/>
                <w:sz w:val="18"/>
                <w:szCs w:val="18"/>
              </w:rPr>
              <w:t>Mostostal Kraków</w:t>
            </w:r>
          </w:p>
          <w:p w14:paraId="377753B2" w14:textId="77777777" w:rsidR="00AE4A40" w:rsidRPr="00916DFA" w:rsidRDefault="00AE4A40" w:rsidP="00171669">
            <w:pPr>
              <w:spacing w:line="360" w:lineRule="auto"/>
              <w:jc w:val="both"/>
              <w:rPr>
                <w:rFonts w:ascii="Tahoma" w:eastAsia="Tahoma" w:hAnsi="Tahoma" w:cs="Tahoma"/>
                <w:b/>
                <w:color w:val="808080"/>
                <w:sz w:val="18"/>
                <w:szCs w:val="18"/>
              </w:rPr>
            </w:pPr>
          </w:p>
          <w:p w14:paraId="58996157" w14:textId="45EF1835" w:rsidR="00171669" w:rsidRPr="00916DFA" w:rsidRDefault="00BA3CD9" w:rsidP="00171669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 pierwszym półroczu 2025 </w:t>
            </w:r>
            <w:r w:rsidR="00171669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poziom kontraktacji wyniósł 117 mln zł. Aktualny portfel ‎zamówień wynosi 503 mln zł. ‎Grupa Mostostal Kraków osiągnęła przychody na poziomie ‎‎‎296,5 mln zł co oznacza, że w porównaniu z analogicznym okresem roku ubiegłego 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są</w:t>
            </w:r>
            <w:r w:rsidR="00171669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‎‎one niższe o 23%. </w:t>
            </w:r>
            <w:r w:rsidR="00171669" w:rsidRPr="00EC523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Spadek </w:t>
            </w:r>
            <w:r w:rsidR="0051571C" w:rsidRPr="00EC523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przychodów </w:t>
            </w:r>
            <w:r w:rsidR="00171669" w:rsidRPr="00EC523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 największym stopniu był konsekwencją niższego ‎zaawansowania realizacji kontraktów czynnych,</w:t>
            </w:r>
            <w:r w:rsidR="00171669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a także</w:t>
            </w:r>
            <w:r w:rsidR="0051571C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wynika</w:t>
            </w:r>
            <w:r w:rsidR="00171669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0C3632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z </w:t>
            </w:r>
            <w:r w:rsidR="00BD0651" w:rsidRPr="00BD065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sytuacji na rynku zamówień publicznych, związanej z ograniczoną liczbą postępowań przetargowych.</w:t>
            </w:r>
            <w:r w:rsidR="00BD0651" w:rsidRPr="00BD0651" w:rsidDel="00BD065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="00171669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‎</w:t>
            </w:r>
          </w:p>
          <w:p w14:paraId="6857611E" w14:textId="77777777" w:rsidR="00171669" w:rsidRPr="00916DFA" w:rsidRDefault="00171669" w:rsidP="00171669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77B761C8" w14:textId="7E96526D" w:rsidR="00171669" w:rsidRPr="00916DFA" w:rsidRDefault="00171669" w:rsidP="00171669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Zysk operacyjny Grupy</w:t>
            </w:r>
            <w:r w:rsidR="00BA3CD9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Mostostal Kraków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wyniósł 18,4 mln zł</w:t>
            </w:r>
            <w:r w:rsidR="00013C8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. </w:t>
            </w:r>
            <w:r w:rsidR="00DC4D24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ynik operacyjny w porównaniu z ‎rokiem ubiegłym</w:t>
            </w:r>
            <w:r w:rsidR="00BA3CD9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,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obniżył się o 15,2 mln zł</w:t>
            </w:r>
            <w:r w:rsidR="00BD065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na skutek</w:t>
            </w:r>
            <w:r w:rsidR="00EE697D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mniejszego zaawansowania kosztowego na realizowanych ‎projektach, spadającej atrakcyjności płac w Niemczech w stosunku do warunków ‎polskich oraz braku realizacji zakładanych w tym czasie nowych kontraktów. ‎Zysk brutto Grupy Mostostal Kraków ukształtował się na poziomie o 39% niższym niż ‎przed rokiem. Oprócz czynników wskazanych powyżej - istotny wpływ na to miała ‎poprawa wyniku na działalności finansowej, gł</w:t>
            </w:r>
            <w:r w:rsidR="00BD0651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ó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wnie za sprawą zabezpieczenia kursów ‎a co za tym idzie wyceny i realizacji transakcji 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forward</w:t>
            </w:r>
            <w:proofErr w:type="spellEnd"/>
            <w:r w:rsidR="00EC523F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(</w:t>
            </w:r>
            <w:r w:rsidR="005020D0" w:rsidRPr="005020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transakcja polegająca na kupnie lub sprzedaży instrumentu </w:t>
            </w:r>
            <w:r w:rsidR="005020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finansowego</w:t>
            </w:r>
            <w:r w:rsidR="005020D0" w:rsidRPr="005020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z góry określonym terminie realizacji i za z góry określoną cenę</w:t>
            </w:r>
            <w:r w:rsidR="005020D0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).</w:t>
            </w:r>
          </w:p>
          <w:p w14:paraId="64AA5DDB" w14:textId="77777777" w:rsidR="00171669" w:rsidRPr="00916DFA" w:rsidRDefault="00171669" w:rsidP="00171669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6BA29C30" w14:textId="512F25E6" w:rsidR="00171669" w:rsidRPr="00916DFA" w:rsidRDefault="00171669" w:rsidP="00171669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Na koniec I półrocza 2025 roku stan środków pieniężnych Grupy wyniósł 76 mln zł wobec ‎‎72 mln zł na koniec I półrocza 2024 roku. Tak wysoki poziom gotówki wskazuje na ‎solidne fundamenty prowadzonej działalności i zdolności do sprawnego ‎funkcjonowania Spółki.‎</w:t>
            </w:r>
          </w:p>
          <w:p w14:paraId="3FBC0192" w14:textId="77777777" w:rsidR="0064173D" w:rsidRDefault="0064173D" w:rsidP="00775CA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099596D0" w14:textId="4BCA36E5" w:rsidR="0075723F" w:rsidRDefault="0075723F" w:rsidP="00775CA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Rok 2025 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stanowi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dla Grupy Mostostal Kraków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okres pełen wyzwań.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Z jednej ‎strony 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obserwujemy w sektorze ograniczoną liczbę ogłaszanych postępowań przetargowych, z drugiej częste opóźnienia w ich rozstrzyganiu. Zjawiska te d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otycz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ą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 zarówno ‎rynku 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krajowego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jak i 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niemieckiego,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 któr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ych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 Spółka 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aktywnie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prowadzi swoją działalność. ‎Taka sytuacja prowadzi do zwiększonej konkurencji </w:t>
            </w:r>
            <w:r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oraz rosnącej presji cenowej w sektorze firm konstrukcyjnych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.</w:t>
            </w:r>
          </w:p>
          <w:p w14:paraId="1B236B72" w14:textId="77777777" w:rsidR="00E65205" w:rsidRDefault="00E65205" w:rsidP="00775CA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669C5373" w14:textId="77777777" w:rsidR="00AE4A40" w:rsidRDefault="00AE4A40" w:rsidP="00775CA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64227E5" w14:textId="77777777" w:rsidR="00AE4A40" w:rsidRDefault="00AE4A40" w:rsidP="00775CA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23FB11D7" w14:textId="77777777" w:rsidR="00AE4A40" w:rsidRDefault="00AE4A40" w:rsidP="00775CA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73D531D4" w14:textId="77777777" w:rsidR="00AE4A40" w:rsidRPr="00916DFA" w:rsidRDefault="00AE4A40" w:rsidP="00775CAB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2131B27" w14:textId="77777777" w:rsidR="00FC43CA" w:rsidRDefault="00FC43CA" w:rsidP="00FC43CA">
            <w:pPr>
              <w:spacing w:line="360" w:lineRule="auto"/>
              <w:jc w:val="both"/>
              <w:rPr>
                <w:rFonts w:ascii="Tahoma" w:eastAsia="Tahoma" w:hAnsi="Tahoma" w:cs="Tahoma"/>
                <w:b/>
                <w:noProof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/>
                <w:noProof/>
                <w:color w:val="808080"/>
                <w:sz w:val="18"/>
                <w:szCs w:val="18"/>
              </w:rPr>
              <w:lastRenderedPageBreak/>
              <w:t>Perspektywy rynkowe</w:t>
            </w:r>
          </w:p>
          <w:p w14:paraId="1ED3BC83" w14:textId="77777777" w:rsidR="00AE4A40" w:rsidRPr="00916DFA" w:rsidRDefault="00AE4A40" w:rsidP="00FC43CA">
            <w:pPr>
              <w:spacing w:line="360" w:lineRule="auto"/>
              <w:jc w:val="both"/>
              <w:rPr>
                <w:rFonts w:ascii="Tahoma" w:eastAsia="Tahoma" w:hAnsi="Tahoma" w:cs="Tahoma"/>
                <w:b/>
                <w:noProof/>
                <w:color w:val="808080"/>
                <w:sz w:val="18"/>
                <w:szCs w:val="18"/>
              </w:rPr>
            </w:pPr>
          </w:p>
          <w:p w14:paraId="38F8A317" w14:textId="18BCCA7B" w:rsidR="00D76C1A" w:rsidRDefault="00456D4C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</w:pPr>
            <w:r w:rsidRPr="00AE4A40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>Branża budowlana ma za sobą bardzo trudny 2024 rok</w:t>
            </w:r>
            <w:r w:rsidR="005D3FF8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>.</w:t>
            </w:r>
            <w:r w:rsidRPr="00AE4A40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 W I połowie 2024 r. produkcja budowlano-montażowa, liczona w cenach stałych, zmniejszyła  ‎się o 8,7 proc. podczas gdy w całym 2024 roku odnotowano spadek na poziomie 7,7-proc. </w:t>
            </w:r>
            <w:r w:rsidR="00A03298" w:rsidRPr="00AE4A40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W I połowie 2025 r. produkcja budowlano-montażowa skurczyła się </w:t>
            </w:r>
            <w:r w:rsidR="005020D0" w:rsidRPr="00AE4A40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w porównaniu do 2024 roku </w:t>
            </w:r>
            <w:r w:rsidR="00A03298" w:rsidRPr="00AE4A40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>o 0,7 proc., w tym ‎budownictwo ogólne o 4,2 ‎proc., infrastrukturalne o 3,5 proc. - i tylko roboty specjalistyczne ‎zanotowały 7,6-proc. wzrostu. ‎ ‎</w:t>
            </w:r>
          </w:p>
          <w:p w14:paraId="31DEC89D" w14:textId="77777777" w:rsidR="00AE4A40" w:rsidRPr="00AE4A40" w:rsidRDefault="00AE4A40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</w:pPr>
          </w:p>
          <w:p w14:paraId="56A91191" w14:textId="449DB88B" w:rsidR="009B66A2" w:rsidRPr="00916DFA" w:rsidRDefault="00D76C1A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FF0000"/>
                <w:sz w:val="18"/>
                <w:szCs w:val="18"/>
              </w:rPr>
            </w:pPr>
            <w:r w:rsidRPr="00AE4A40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Sytuacja sektora budowlanego pozostaje wymagająca. </w:t>
            </w:r>
            <w:r w:rsidR="00456D4C" w:rsidRPr="00AE4A40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Maleje liczba nowych pozwoleń na ‎budowę a przychody wielu dużych firm budowlanych </w:t>
            </w:r>
            <w:r w:rsidR="00F42A52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są rok do roku na niższym poziomie. </w:t>
            </w:r>
          </w:p>
          <w:p w14:paraId="41101448" w14:textId="77777777" w:rsidR="0002096A" w:rsidRDefault="0002096A" w:rsidP="004B213D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380217FE" w14:textId="60F8B991" w:rsidR="00364B21" w:rsidRDefault="004B213D" w:rsidP="004B213D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Potencjał techniczny generalnych wykonawców w Polsce wciąż znacząco przewyższa ‎skalę inwestycji zlecanych przez największych Zamawiających. </w:t>
            </w:r>
            <w:r w:rsidRPr="00916DFA"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  <w:t>Niewykorzystane moce produkcyjne przedsiębiorstw budowlanych szacuje się obecnie na 20%.</w:t>
            </w:r>
            <w:r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696E94B6" w14:textId="18A278FF" w:rsidR="004B213D" w:rsidRDefault="00BB2637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</w:pPr>
            <w:r w:rsidRPr="00BB263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 obliczu</w:t>
            </w:r>
            <w:r w:rsidR="00230C6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znacznie</w:t>
            </w:r>
            <w:r w:rsidRPr="00BB2637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niewykorzystanego potencjału wykonawczego przedsiębiorstwa agresywnie startują w ‎przetargach, oferując ceny poniżej budżetów inwestorskich. Takie warunki pozyskiwania zleceń ‎generują poważne ryzyko – zarówno dla zamawiających, jak i dla użytkowników infrastruktury oraz ‎podatników. Istnieje realne zagrożenie, że część firm nie sprosta realizacji kontraktów lub ogłosi ‎upadłość, co skutkować będzie opóźnieniami oraz znacznym wzrostem kosztów inwestycji. ‎</w:t>
            </w:r>
          </w:p>
          <w:p w14:paraId="55D844CC" w14:textId="6B1674FE" w:rsidR="006A4133" w:rsidRDefault="003D780B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  <w:t xml:space="preserve">Pomimo niższego poziomu kontraktacji, portfel projektów w toku i oczekujących na podpisanie </w:t>
            </w:r>
            <w:r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  <w:t xml:space="preserve">w Grupie Budimex </w:t>
            </w:r>
            <w:r w:rsidRPr="00916DFA"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  <w:t>zapewnia</w:t>
            </w:r>
            <w:r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  <w:t xml:space="preserve"> jej</w:t>
            </w:r>
            <w:r w:rsidRPr="00916DFA">
              <w:rPr>
                <w:rFonts w:ascii="Tahoma" w:eastAsia="Tahoma" w:hAnsi="Tahoma" w:cs="Tahoma"/>
                <w:bCs/>
                <w:color w:val="7F7F7F" w:themeColor="text1" w:themeTint="80"/>
                <w:sz w:val="18"/>
                <w:szCs w:val="18"/>
              </w:rPr>
              <w:t xml:space="preserve"> ciągłość działalności.</w:t>
            </w:r>
          </w:p>
          <w:p w14:paraId="508025B4" w14:textId="77777777" w:rsidR="00F82869" w:rsidRPr="00916DFA" w:rsidRDefault="00F82869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0ADF72C4" w14:textId="6114DA6F" w:rsidR="00E20A4B" w:rsidRDefault="009F5AA2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Widoczne są pierwsze ‎oznaki poprawy</w:t>
            </w:r>
            <w:r w:rsidR="00985C6C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sytuacji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, szczególnie w segmentach związanych z infrastrukturą strategiczną. ‎Aby w pełni wykorzystać potencjał budownictwa – odpowiadającego za blisko 10% PKB ‎i zatrudniającego ponad 1,3 mln osób – kluczowe będzie przyspieszenie procedur ‎administracyjnych, większa przewidywalność inwestycyjna</w:t>
            </w:r>
            <w:r w:rsidR="00B2786C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, 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w tym sprawniejsze uruchamianie środków z KPO i funduszy ‎unijnych.‎</w:t>
            </w:r>
          </w:p>
          <w:p w14:paraId="297882BC" w14:textId="77777777" w:rsidR="00E20A4B" w:rsidRPr="00916DFA" w:rsidRDefault="00E20A4B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28B01457" w14:textId="5EA63628" w:rsidR="00746741" w:rsidRPr="00916DFA" w:rsidRDefault="00746741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 ostatnich kwartałach założone kierunki rozwoju Grupy Budimex zaczęły przynosić wymierne efekty. Wzmocnienie pozycji w segmencie infrastruktury tunelowej, inwestycje militarne, a także ekspansja na rynki zagraniczne pozwoliły na dalszą dywersyfikację portfela zamówień Grupy i zwiększyły możliwości skalowania biznesu w przyszłości. </w:t>
            </w:r>
          </w:p>
          <w:p w14:paraId="34F3A8A9" w14:textId="77777777" w:rsidR="00E20A4B" w:rsidRPr="00916DFA" w:rsidRDefault="00E20A4B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06090E33" w14:textId="207EA103" w:rsidR="00746741" w:rsidRPr="00916DFA" w:rsidRDefault="00746741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W maju podpisaliśmy umowę na budowę odcinka 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Rail</w:t>
            </w:r>
            <w:proofErr w:type="spellEnd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Baltica</w:t>
            </w:r>
            <w:proofErr w:type="spellEnd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 Estonii. Budimex jest częścią Grupy Budowlanej, z udziałem 40%, a przewidywana wartość umowy to 332 miliony euro. Półtora roku wcześniej, w grudniu 2023 roku, podpisaliśmy umowę na budowę 220 kilometrów 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Rail</w:t>
            </w:r>
            <w:proofErr w:type="spellEnd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Baltica</w:t>
            </w:r>
            <w:proofErr w:type="spellEnd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na Łotwie. Łącznie daje to niemal 280 kilometrów infrastruktury kolejowej o kluczowym znaczeniu dla całego regionu bałtyckiego. </w:t>
            </w:r>
          </w:p>
          <w:p w14:paraId="4AE68444" w14:textId="77777777" w:rsidR="00E20A4B" w:rsidRPr="00916DFA" w:rsidRDefault="00E20A4B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24725DAC" w14:textId="31134262" w:rsidR="00746741" w:rsidRPr="00916DFA" w:rsidRDefault="00746741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lastRenderedPageBreak/>
              <w:t xml:space="preserve">W drugim kwartale przeprowadzony został oficjalny rozruch tarczy TBM na linii kolejowej ‎nr 104, co po raz kolejny potwierdza gotowość Grupy do realizacji najbardziej ‎wymagających technicznie inwestycji. Czekamy na podpisanie kolejnego projektu, który wzmocni naszą pozycję i kompetencje w segmencie budownictwa tunelowego. Oferta konsorcjum z udziałem Budimex o wartości 1,69 miliarda złotych netto na budowę odcinka linii kolejowej 622 (Szczyrzyc – Tymbark) została wybrana przez PKP PLK jako najkorzystniejsza. </w:t>
            </w:r>
          </w:p>
          <w:p w14:paraId="2C9542D5" w14:textId="77777777" w:rsidR="00E20A4B" w:rsidRPr="00916DFA" w:rsidRDefault="00E20A4B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2804A3A" w14:textId="66BAEFFA" w:rsidR="00746741" w:rsidRPr="00916DFA" w:rsidRDefault="00746741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Od kilku lat jesteśmy jednym z certyfikowanych partnerów inwestycji wojskowych w Polsce. Konsekwentnie rozwijamy nasze struktury oraz rozbudowujemy portfel inwestycji militarnych, pozyskując w pierwszym półroczu 2025 roku zlecenia o</w:t>
            </w:r>
            <w:r w:rsidR="00360506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 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wartości ponad 300 milionów złotych.  </w:t>
            </w:r>
          </w:p>
          <w:p w14:paraId="6DC9F884" w14:textId="77777777" w:rsidR="00E20A4B" w:rsidRPr="00916DFA" w:rsidRDefault="00E20A4B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5A30DD6A" w14:textId="38953C1A" w:rsidR="00746741" w:rsidRPr="00916DFA" w:rsidRDefault="00746741" w:rsidP="00746741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Dalszy rozwój działalności deweloperskiej, inwestycje na rynku Data </w:t>
            </w:r>
            <w:proofErr w:type="spellStart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Centers</w:t>
            </w:r>
            <w:proofErr w:type="spellEnd"/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oraz projekty OZE to dodatkowe obszary poza segmentem budowlanym, które długoterminowo pozwolą dalej dywersyfikować działalność Grupy Budimex. W nadchodzących miesiącach priorytetem będzie odpowiedzialna realizacja rekordowego portfela zamówień oraz dalsza praca nad kontrolą kosztów i</w:t>
            </w:r>
            <w:r w:rsidR="00360506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 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optymalizacją procesów, w tym digitalizacją i automatyzacją, również z</w:t>
            </w:r>
            <w:r w:rsidR="00360506"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 </w:t>
            </w: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 xml:space="preserve"> wykorzystaniem sztucznej inteligencji. </w:t>
            </w:r>
          </w:p>
          <w:p w14:paraId="592B0EEF" w14:textId="77777777" w:rsidR="00677190" w:rsidRPr="00916DFA" w:rsidRDefault="00677190" w:rsidP="00677190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63E8C0BC" w14:textId="24F7C687" w:rsidR="00677190" w:rsidRPr="00916DFA" w:rsidRDefault="007235E3" w:rsidP="00677190">
            <w:pPr>
              <w:spacing w:line="360" w:lineRule="auto"/>
              <w:jc w:val="both"/>
              <w:rPr>
                <w:rFonts w:ascii="Tahoma" w:eastAsia="Tahoma" w:hAnsi="Tahoma" w:cs="Tahoma"/>
                <w:b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/>
                <w:color w:val="808080"/>
                <w:sz w:val="18"/>
                <w:szCs w:val="18"/>
              </w:rPr>
              <w:t>Działania społeczne</w:t>
            </w:r>
          </w:p>
          <w:p w14:paraId="3EC68319" w14:textId="77777777" w:rsidR="002D3274" w:rsidRPr="00916DFA" w:rsidRDefault="002D3274" w:rsidP="002D3274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FF0000"/>
                <w:sz w:val="18"/>
                <w:szCs w:val="18"/>
              </w:rPr>
            </w:pPr>
          </w:p>
          <w:p w14:paraId="327C1819" w14:textId="4A304A81" w:rsidR="00FC43CA" w:rsidRPr="00916DFA" w:rsidRDefault="005E7E3C" w:rsidP="007235E3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W pierwszym półroczu 2025 roku </w:t>
            </w:r>
            <w:r w:rsidR="002D3274"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>Budimex kontynuował swoje działania społeczne. Przeprowadziliśmy kampanie z zakresu bezpieczeństwa w ruchu drogowym Hello ICE w 7 lokalizacjach</w:t>
            </w:r>
            <w:r w:rsidR="007235E3"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w Polsce</w:t>
            </w:r>
            <w:r w:rsidR="002D3274"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>. Przygotowujemy Strefę Rodzica w szpitalu w Bratysławie</w:t>
            </w:r>
            <w:r w:rsidR="007235E3"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na Słowacji</w:t>
            </w:r>
            <w:r w:rsidR="002D3274"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>W</w:t>
            </w:r>
            <w:r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XXI edycji Rankingu Budowlana Marka Roku 2025</w:t>
            </w:r>
            <w:r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2D3274"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>Budimex został wybrany „Generalnym Wykonawcą Przyjaznym Firmom Budowlanym”. Nagroda została przyznana w oparciu o badania ponad 1000 firm podwykonawczych w Polsce. Zawarliśmy porozumienie o współpracy z Uniwersytetem Szczecińskim. Umowa została podpisana 7 lipca 2025 roku i objęła obszary praktyk studenckich, staży oraz wspólnych projektów badawczo-rozwojowych.</w:t>
            </w:r>
            <w:r w:rsidR="002D3274" w:rsidRPr="00916DFA">
              <w:rPr>
                <w:color w:val="808080" w:themeColor="background1" w:themeShade="80"/>
              </w:rPr>
              <w:t xml:space="preserve"> </w:t>
            </w:r>
            <w:r w:rsidR="002D3274"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>Zrealizowana przez Budimex SA inwestycja – Mosty Berdychowskie w Poznaniu – została nagrodzona przez Europejską Federację Cyklistów (ECF) w kategorii Infrastruktura Rowerowa.</w:t>
            </w:r>
            <w:r w:rsidR="007235E3"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W ramach akcji Przystanek Zieleń przy budowie Tramwaju do Wilanowa w Warszawie przekazaliśmy</w:t>
            </w:r>
            <w:r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kolejne</w:t>
            </w:r>
            <w:r w:rsidR="007235E3" w:rsidRPr="00916DFA">
              <w:rPr>
                <w:rFonts w:ascii="Tahoma" w:eastAsia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140 drzew. Zrealizowaliśmy też 6 pikników w dzielnicach sąsiadujących z budową. </w:t>
            </w:r>
          </w:p>
          <w:p w14:paraId="77CBA608" w14:textId="77777777" w:rsidR="00FC43CA" w:rsidRPr="00916DFA" w:rsidRDefault="00FC43CA" w:rsidP="00FC43CA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  <w:p w14:paraId="3F66AD2F" w14:textId="77777777" w:rsidR="00FC43CA" w:rsidRPr="00916DFA" w:rsidRDefault="00FC43CA" w:rsidP="00FC43CA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  <w:r w:rsidRPr="00916DFA"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  <w:t>‎</w:t>
            </w:r>
          </w:p>
          <w:p w14:paraId="44BE80C7" w14:textId="75187DB9" w:rsidR="00DE4D7D" w:rsidRPr="00916DFA" w:rsidRDefault="00DE4D7D" w:rsidP="00FC43CA">
            <w:pPr>
              <w:spacing w:line="360" w:lineRule="auto"/>
              <w:jc w:val="both"/>
              <w:rPr>
                <w:rFonts w:ascii="Tahoma" w:eastAsia="Tahoma" w:hAnsi="Tahoma" w:cs="Tahoma"/>
                <w:bCs/>
                <w:color w:val="808080"/>
                <w:sz w:val="18"/>
                <w:szCs w:val="18"/>
              </w:rPr>
            </w:pPr>
          </w:p>
        </w:tc>
        <w:tc>
          <w:tcPr>
            <w:tcW w:w="3166" w:type="dxa"/>
          </w:tcPr>
          <w:p w14:paraId="5B5F2F21" w14:textId="2DED115D" w:rsidR="00D824D3" w:rsidRPr="00FC43CA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6D9FE0D9" w14:textId="77777777" w:rsidR="00D824D3" w:rsidRPr="00FC43CA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2981D933" w14:textId="77777777" w:rsidR="00D824D3" w:rsidRPr="00FC43CA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75763072" w14:textId="77777777" w:rsidR="00D824D3" w:rsidRPr="00FC43CA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522D8B16" w14:textId="77777777" w:rsidR="00D824D3" w:rsidRPr="00FC43CA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383DA6A1" w14:textId="77777777" w:rsidR="00D824D3" w:rsidRPr="00FC43CA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302E4DF3" w14:textId="77777777" w:rsidR="00D824D3" w:rsidRPr="00FC43CA" w:rsidRDefault="00D824D3">
            <w:pPr>
              <w:spacing w:after="120" w:line="360" w:lineRule="auto"/>
              <w:rPr>
                <w:rFonts w:ascii="Verdana" w:eastAsia="Verdana" w:hAnsi="Verdana" w:cs="Verdana"/>
                <w:bCs/>
                <w:color w:val="FFC000"/>
                <w:sz w:val="20"/>
                <w:szCs w:val="20"/>
              </w:rPr>
            </w:pPr>
          </w:p>
          <w:p w14:paraId="7B71267C" w14:textId="77777777" w:rsidR="00D824D3" w:rsidRPr="00775CAB" w:rsidRDefault="00B63B5B">
            <w:pPr>
              <w:spacing w:after="120" w:line="360" w:lineRule="auto"/>
              <w:rPr>
                <w:rFonts w:ascii="Verdana" w:eastAsia="Verdana" w:hAnsi="Verdana" w:cs="Verdana"/>
                <w:bCs/>
                <w:color w:val="FFC000"/>
                <w:sz w:val="20"/>
                <w:szCs w:val="20"/>
              </w:rPr>
            </w:pPr>
            <w:r w:rsidRPr="00775CAB">
              <w:rPr>
                <w:rFonts w:ascii="Verdana" w:eastAsia="Verdana" w:hAnsi="Verdana" w:cs="Verdana"/>
                <w:bCs/>
                <w:color w:val="FFC000"/>
                <w:sz w:val="20"/>
                <w:szCs w:val="20"/>
              </w:rPr>
              <w:t xml:space="preserve">Kontakt: </w:t>
            </w:r>
          </w:p>
          <w:p w14:paraId="3EDE60A1" w14:textId="45C07FB4" w:rsidR="00D824D3" w:rsidRPr="00775CAB" w:rsidRDefault="00B63B5B">
            <w:pPr>
              <w:spacing w:after="120" w:line="360" w:lineRule="auto"/>
              <w:rPr>
                <w:rFonts w:ascii="Verdana" w:eastAsia="Verdana" w:hAnsi="Verdana" w:cs="Verdana"/>
                <w:bCs/>
                <w:color w:val="808080"/>
                <w:sz w:val="18"/>
                <w:szCs w:val="18"/>
              </w:rPr>
            </w:pPr>
            <w:r w:rsidRPr="00775CAB">
              <w:rPr>
                <w:rFonts w:ascii="Verdana" w:eastAsia="Verdana" w:hAnsi="Verdana" w:cs="Verdana"/>
                <w:bCs/>
                <w:color w:val="808080"/>
                <w:sz w:val="18"/>
                <w:szCs w:val="18"/>
              </w:rPr>
              <w:t>Michał Wrzosek</w:t>
            </w:r>
            <w:r w:rsidR="0053503C">
              <w:rPr>
                <w:rFonts w:ascii="Verdana" w:eastAsia="Verdana" w:hAnsi="Verdana" w:cs="Verdana"/>
                <w:bCs/>
                <w:color w:val="808080"/>
                <w:sz w:val="18"/>
                <w:szCs w:val="18"/>
              </w:rPr>
              <w:t xml:space="preserve"> -</w:t>
            </w:r>
            <w:r w:rsidRPr="00775CAB">
              <w:rPr>
                <w:rFonts w:ascii="Verdana" w:eastAsia="Verdana" w:hAnsi="Verdana" w:cs="Verdana"/>
                <w:bCs/>
                <w:color w:val="808080"/>
                <w:sz w:val="18"/>
                <w:szCs w:val="18"/>
              </w:rPr>
              <w:t xml:space="preserve"> Rzecznik Prasowy</w:t>
            </w:r>
          </w:p>
          <w:p w14:paraId="742DC472" w14:textId="77777777" w:rsidR="00D824D3" w:rsidRPr="00775CAB" w:rsidRDefault="00B63B5B">
            <w:pPr>
              <w:spacing w:line="360" w:lineRule="auto"/>
              <w:rPr>
                <w:rFonts w:ascii="Verdana" w:eastAsia="Verdana" w:hAnsi="Verdana" w:cs="Verdana"/>
                <w:bCs/>
                <w:color w:val="808080"/>
                <w:sz w:val="18"/>
                <w:szCs w:val="18"/>
              </w:rPr>
            </w:pPr>
            <w:r w:rsidRPr="00775CAB">
              <w:rPr>
                <w:rFonts w:ascii="Verdana" w:eastAsia="Verdana" w:hAnsi="Verdana" w:cs="Verdana"/>
                <w:bCs/>
                <w:color w:val="808080"/>
                <w:sz w:val="18"/>
                <w:szCs w:val="18"/>
              </w:rPr>
              <w:t xml:space="preserve">tel. (22) 62 36 164, 512 478 522, </w:t>
            </w:r>
          </w:p>
          <w:p w14:paraId="1AD63FF4" w14:textId="77777777" w:rsidR="00D824D3" w:rsidRPr="00775CAB" w:rsidRDefault="00B63B5B">
            <w:pPr>
              <w:spacing w:line="360" w:lineRule="auto"/>
              <w:rPr>
                <w:rFonts w:ascii="Verdana" w:eastAsia="Verdana" w:hAnsi="Verdana" w:cs="Verdana"/>
                <w:bCs/>
                <w:color w:val="808080"/>
                <w:sz w:val="18"/>
                <w:szCs w:val="18"/>
              </w:rPr>
            </w:pPr>
            <w:hyperlink r:id="rId12">
              <w:r w:rsidRPr="00775CAB">
                <w:rPr>
                  <w:rFonts w:ascii="Verdana" w:eastAsia="Verdana" w:hAnsi="Verdana" w:cs="Verdana"/>
                  <w:bCs/>
                  <w:color w:val="808080"/>
                  <w:sz w:val="18"/>
                  <w:szCs w:val="18"/>
                  <w:u w:val="single"/>
                </w:rPr>
                <w:t>michal.wrzosek@budimex.pl</w:t>
              </w:r>
            </w:hyperlink>
          </w:p>
          <w:p w14:paraId="286034E8" w14:textId="77777777" w:rsidR="00D824D3" w:rsidRPr="00775CAB" w:rsidRDefault="00B63B5B">
            <w:pPr>
              <w:spacing w:before="280" w:after="280" w:line="360" w:lineRule="auto"/>
              <w:jc w:val="both"/>
              <w:rPr>
                <w:rFonts w:ascii="Tahoma" w:eastAsia="Tahoma" w:hAnsi="Tahoma" w:cs="Tahoma"/>
                <w:bCs/>
                <w:color w:val="7F7F7F"/>
                <w:sz w:val="18"/>
                <w:szCs w:val="18"/>
              </w:rPr>
            </w:pPr>
            <w:hyperlink r:id="rId13">
              <w:r w:rsidRPr="00775CAB">
                <w:rPr>
                  <w:rFonts w:ascii="Tahoma" w:eastAsia="Tahoma" w:hAnsi="Tahoma" w:cs="Tahoma"/>
                  <w:bCs/>
                  <w:color w:val="7F7F7F"/>
                  <w:sz w:val="18"/>
                  <w:szCs w:val="18"/>
                  <w:u w:val="single"/>
                </w:rPr>
                <w:t>www.media.budimex.pl</w:t>
              </w:r>
            </w:hyperlink>
          </w:p>
          <w:p w14:paraId="0DDA63C7" w14:textId="77777777" w:rsidR="00D824D3" w:rsidRPr="00775CAB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0E328550" w14:textId="77777777" w:rsidR="00D824D3" w:rsidRPr="00775CAB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4331147F" w14:textId="77777777" w:rsidR="00D824D3" w:rsidRPr="00775CAB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  <w:p w14:paraId="4CEC1C16" w14:textId="77777777" w:rsidR="00D824D3" w:rsidRPr="00775CAB" w:rsidRDefault="00D824D3">
            <w:pPr>
              <w:spacing w:line="360" w:lineRule="auto"/>
              <w:jc w:val="center"/>
              <w:rPr>
                <w:rFonts w:ascii="Tahoma" w:eastAsia="Tahoma" w:hAnsi="Tahoma" w:cs="Tahoma"/>
                <w:bCs/>
                <w:color w:val="FFC000"/>
              </w:rPr>
            </w:pPr>
          </w:p>
        </w:tc>
      </w:tr>
    </w:tbl>
    <w:p w14:paraId="6E7F5698" w14:textId="7B88D0D5" w:rsidR="00D824D3" w:rsidRDefault="00D824D3" w:rsidP="00AD7834">
      <w:pPr>
        <w:spacing w:line="360" w:lineRule="auto"/>
        <w:ind w:right="1"/>
        <w:jc w:val="both"/>
        <w:rPr>
          <w:rFonts w:ascii="Tahoma" w:eastAsia="Tahoma" w:hAnsi="Tahoma" w:cs="Tahoma"/>
          <w:color w:val="808080"/>
          <w:sz w:val="18"/>
          <w:szCs w:val="18"/>
        </w:rPr>
      </w:pPr>
    </w:p>
    <w:sectPr w:rsidR="00D824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02F4" w14:textId="77777777" w:rsidR="00974E31" w:rsidRDefault="00974E31">
      <w:pPr>
        <w:spacing w:after="0" w:line="240" w:lineRule="auto"/>
      </w:pPr>
      <w:r>
        <w:separator/>
      </w:r>
    </w:p>
  </w:endnote>
  <w:endnote w:type="continuationSeparator" w:id="0">
    <w:p w14:paraId="2680FC3F" w14:textId="77777777" w:rsidR="00974E31" w:rsidRDefault="0097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00D7" w14:textId="77777777" w:rsidR="00D824D3" w:rsidRDefault="00D82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5B6A" w14:textId="77777777" w:rsidR="00D824D3" w:rsidRDefault="00D82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8BC6A" w14:textId="77777777" w:rsidR="00D824D3" w:rsidRDefault="00D82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3EE2B" w14:textId="77777777" w:rsidR="00974E31" w:rsidRDefault="00974E31">
      <w:pPr>
        <w:spacing w:after="0" w:line="240" w:lineRule="auto"/>
      </w:pPr>
      <w:r>
        <w:separator/>
      </w:r>
    </w:p>
  </w:footnote>
  <w:footnote w:type="continuationSeparator" w:id="0">
    <w:p w14:paraId="350130DE" w14:textId="77777777" w:rsidR="00974E31" w:rsidRDefault="0097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AD38" w14:textId="77777777" w:rsidR="00D824D3" w:rsidRDefault="00D82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F148" w14:textId="77777777" w:rsidR="00D824D3" w:rsidRDefault="00B63B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5"/>
        <w:tab w:val="left" w:pos="3828"/>
      </w:tabs>
      <w:spacing w:after="0" w:line="240" w:lineRule="auto"/>
      <w:rPr>
        <w:rFonts w:ascii="Tahoma" w:eastAsia="Tahoma" w:hAnsi="Tahoma" w:cs="Tahoma"/>
        <w:b/>
        <w:color w:val="80808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6564C0" wp14:editId="56D6C67B">
          <wp:simplePos x="0" y="0"/>
          <wp:positionH relativeFrom="column">
            <wp:posOffset>764</wp:posOffset>
          </wp:positionH>
          <wp:positionV relativeFrom="paragraph">
            <wp:posOffset>693</wp:posOffset>
          </wp:positionV>
          <wp:extent cx="1396800" cy="478800"/>
          <wp:effectExtent l="0" t="0" r="0" b="0"/>
          <wp:wrapNone/>
          <wp:docPr id="11425101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6800" cy="47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3E2250" w14:textId="77777777" w:rsidR="00D824D3" w:rsidRDefault="00B63B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5"/>
      </w:tabs>
      <w:spacing w:after="0" w:line="240" w:lineRule="auto"/>
      <w:jc w:val="right"/>
      <w:rPr>
        <w:rFonts w:ascii="Tahoma" w:eastAsia="Tahoma" w:hAnsi="Tahoma" w:cs="Tahoma"/>
        <w:b/>
        <w:color w:val="808080"/>
        <w:sz w:val="28"/>
        <w:szCs w:val="28"/>
      </w:rPr>
    </w:pPr>
    <w:r>
      <w:rPr>
        <w:rFonts w:ascii="Tahoma" w:eastAsia="Tahoma" w:hAnsi="Tahoma" w:cs="Tahoma"/>
        <w:b/>
        <w:color w:val="808080"/>
        <w:sz w:val="28"/>
        <w:szCs w:val="28"/>
      </w:rPr>
      <w:t>Informacja prasowa</w:t>
    </w:r>
  </w:p>
  <w:p w14:paraId="0BB711A9" w14:textId="77777777" w:rsidR="00D824D3" w:rsidRDefault="00D82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5"/>
      </w:tabs>
      <w:spacing w:after="0" w:line="240" w:lineRule="auto"/>
      <w:jc w:val="right"/>
      <w:rPr>
        <w:rFonts w:ascii="Tahoma" w:eastAsia="Tahoma" w:hAnsi="Tahoma" w:cs="Tahoma"/>
        <w:b/>
        <w:color w:val="8080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E3E24" w14:textId="77777777" w:rsidR="00D824D3" w:rsidRDefault="00D82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0672"/>
    <w:multiLevelType w:val="multilevel"/>
    <w:tmpl w:val="CC9AE5D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color w:val="FFC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B07B9"/>
    <w:multiLevelType w:val="hybridMultilevel"/>
    <w:tmpl w:val="FFAAB1F4"/>
    <w:lvl w:ilvl="0" w:tplc="4C107D6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F2B8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0F3B"/>
    <w:multiLevelType w:val="hybridMultilevel"/>
    <w:tmpl w:val="049630C4"/>
    <w:lvl w:ilvl="0" w:tplc="18606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46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9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E8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2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40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85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EB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09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6E6820"/>
    <w:multiLevelType w:val="hybridMultilevel"/>
    <w:tmpl w:val="C59CA3F4"/>
    <w:lvl w:ilvl="0" w:tplc="4D483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25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C9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2A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0F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AD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E4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3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AE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03725F"/>
    <w:multiLevelType w:val="multilevel"/>
    <w:tmpl w:val="02C6D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C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660AA0"/>
    <w:multiLevelType w:val="multilevel"/>
    <w:tmpl w:val="77F471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color w:val="FFC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145467660">
    <w:abstractNumId w:val="0"/>
  </w:num>
  <w:num w:numId="2" w16cid:durableId="1547525273">
    <w:abstractNumId w:val="5"/>
  </w:num>
  <w:num w:numId="3" w16cid:durableId="1196965386">
    <w:abstractNumId w:val="2"/>
  </w:num>
  <w:num w:numId="4" w16cid:durableId="1619530281">
    <w:abstractNumId w:val="3"/>
  </w:num>
  <w:num w:numId="5" w16cid:durableId="110520937">
    <w:abstractNumId w:val="4"/>
  </w:num>
  <w:num w:numId="6" w16cid:durableId="1049841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3"/>
    <w:rsid w:val="0000116D"/>
    <w:rsid w:val="00002FA2"/>
    <w:rsid w:val="00005901"/>
    <w:rsid w:val="000103E8"/>
    <w:rsid w:val="00012007"/>
    <w:rsid w:val="0001222E"/>
    <w:rsid w:val="00013C81"/>
    <w:rsid w:val="000150C1"/>
    <w:rsid w:val="0001727E"/>
    <w:rsid w:val="0002096A"/>
    <w:rsid w:val="00022028"/>
    <w:rsid w:val="00022DFA"/>
    <w:rsid w:val="0002486D"/>
    <w:rsid w:val="00025CA9"/>
    <w:rsid w:val="00027A52"/>
    <w:rsid w:val="00032F3D"/>
    <w:rsid w:val="00033E4A"/>
    <w:rsid w:val="00033EEE"/>
    <w:rsid w:val="0003691C"/>
    <w:rsid w:val="00044B01"/>
    <w:rsid w:val="000471E4"/>
    <w:rsid w:val="00047865"/>
    <w:rsid w:val="0005314C"/>
    <w:rsid w:val="00053E58"/>
    <w:rsid w:val="000547F5"/>
    <w:rsid w:val="000602EE"/>
    <w:rsid w:val="00061B68"/>
    <w:rsid w:val="00061F85"/>
    <w:rsid w:val="0006314F"/>
    <w:rsid w:val="000644F6"/>
    <w:rsid w:val="00065B40"/>
    <w:rsid w:val="00065F03"/>
    <w:rsid w:val="000667B8"/>
    <w:rsid w:val="00070220"/>
    <w:rsid w:val="00070BD3"/>
    <w:rsid w:val="00071A92"/>
    <w:rsid w:val="00071AC8"/>
    <w:rsid w:val="00083EB2"/>
    <w:rsid w:val="0008411D"/>
    <w:rsid w:val="00084D2C"/>
    <w:rsid w:val="00084DAA"/>
    <w:rsid w:val="00086190"/>
    <w:rsid w:val="000908AD"/>
    <w:rsid w:val="00091EB7"/>
    <w:rsid w:val="0009261F"/>
    <w:rsid w:val="000935B7"/>
    <w:rsid w:val="00093C5B"/>
    <w:rsid w:val="00094318"/>
    <w:rsid w:val="00096E60"/>
    <w:rsid w:val="000A0D19"/>
    <w:rsid w:val="000A29DB"/>
    <w:rsid w:val="000A3F9F"/>
    <w:rsid w:val="000A4C94"/>
    <w:rsid w:val="000A77AE"/>
    <w:rsid w:val="000B0FF0"/>
    <w:rsid w:val="000B1B2E"/>
    <w:rsid w:val="000B270F"/>
    <w:rsid w:val="000B311C"/>
    <w:rsid w:val="000B38FA"/>
    <w:rsid w:val="000B4EAD"/>
    <w:rsid w:val="000B570C"/>
    <w:rsid w:val="000B7985"/>
    <w:rsid w:val="000C0857"/>
    <w:rsid w:val="000C30F6"/>
    <w:rsid w:val="000C3632"/>
    <w:rsid w:val="000C5892"/>
    <w:rsid w:val="000C60FB"/>
    <w:rsid w:val="000C7283"/>
    <w:rsid w:val="000D3434"/>
    <w:rsid w:val="000D4CA2"/>
    <w:rsid w:val="000D51F1"/>
    <w:rsid w:val="000D6166"/>
    <w:rsid w:val="000E3CEC"/>
    <w:rsid w:val="000E4D10"/>
    <w:rsid w:val="000E5514"/>
    <w:rsid w:val="000F478F"/>
    <w:rsid w:val="000F734A"/>
    <w:rsid w:val="000F7CDD"/>
    <w:rsid w:val="00100180"/>
    <w:rsid w:val="00103FBA"/>
    <w:rsid w:val="00106347"/>
    <w:rsid w:val="0011319E"/>
    <w:rsid w:val="0011529E"/>
    <w:rsid w:val="001161CB"/>
    <w:rsid w:val="00120F42"/>
    <w:rsid w:val="00121797"/>
    <w:rsid w:val="00125739"/>
    <w:rsid w:val="0012600E"/>
    <w:rsid w:val="00131EA2"/>
    <w:rsid w:val="00132E81"/>
    <w:rsid w:val="00135A1E"/>
    <w:rsid w:val="001375F4"/>
    <w:rsid w:val="001378BE"/>
    <w:rsid w:val="00140206"/>
    <w:rsid w:val="00140E13"/>
    <w:rsid w:val="001415FC"/>
    <w:rsid w:val="001427C1"/>
    <w:rsid w:val="001451FD"/>
    <w:rsid w:val="00147473"/>
    <w:rsid w:val="0015239C"/>
    <w:rsid w:val="0015292B"/>
    <w:rsid w:val="00154AF9"/>
    <w:rsid w:val="00161B1D"/>
    <w:rsid w:val="00164288"/>
    <w:rsid w:val="001652FF"/>
    <w:rsid w:val="0016660D"/>
    <w:rsid w:val="00171669"/>
    <w:rsid w:val="001716DD"/>
    <w:rsid w:val="00171E71"/>
    <w:rsid w:val="00173E11"/>
    <w:rsid w:val="001750B3"/>
    <w:rsid w:val="00176796"/>
    <w:rsid w:val="00176B23"/>
    <w:rsid w:val="00177E6B"/>
    <w:rsid w:val="00177F03"/>
    <w:rsid w:val="00180DCA"/>
    <w:rsid w:val="00181203"/>
    <w:rsid w:val="00183716"/>
    <w:rsid w:val="00184033"/>
    <w:rsid w:val="001840EA"/>
    <w:rsid w:val="001843D9"/>
    <w:rsid w:val="00184B5B"/>
    <w:rsid w:val="00185CBD"/>
    <w:rsid w:val="0019013E"/>
    <w:rsid w:val="001906A3"/>
    <w:rsid w:val="00191813"/>
    <w:rsid w:val="00192F14"/>
    <w:rsid w:val="00193800"/>
    <w:rsid w:val="00196E4D"/>
    <w:rsid w:val="00197052"/>
    <w:rsid w:val="001A13BD"/>
    <w:rsid w:val="001A4444"/>
    <w:rsid w:val="001A4687"/>
    <w:rsid w:val="001A5E03"/>
    <w:rsid w:val="001B18F8"/>
    <w:rsid w:val="001B3A88"/>
    <w:rsid w:val="001B53AC"/>
    <w:rsid w:val="001B78ED"/>
    <w:rsid w:val="001C403F"/>
    <w:rsid w:val="001C57BE"/>
    <w:rsid w:val="001C6BED"/>
    <w:rsid w:val="001C78CD"/>
    <w:rsid w:val="001C7905"/>
    <w:rsid w:val="001D1508"/>
    <w:rsid w:val="001D3BBF"/>
    <w:rsid w:val="001D6D47"/>
    <w:rsid w:val="001D775B"/>
    <w:rsid w:val="001E1D31"/>
    <w:rsid w:val="001E2FCE"/>
    <w:rsid w:val="001E3718"/>
    <w:rsid w:val="001E5D2F"/>
    <w:rsid w:val="001E5F16"/>
    <w:rsid w:val="001E6465"/>
    <w:rsid w:val="001E655D"/>
    <w:rsid w:val="001E7443"/>
    <w:rsid w:val="001F0DE8"/>
    <w:rsid w:val="001F13AB"/>
    <w:rsid w:val="001F3AC1"/>
    <w:rsid w:val="001F3B78"/>
    <w:rsid w:val="001F540C"/>
    <w:rsid w:val="00200282"/>
    <w:rsid w:val="002037E5"/>
    <w:rsid w:val="00205C0B"/>
    <w:rsid w:val="00207D56"/>
    <w:rsid w:val="00210418"/>
    <w:rsid w:val="00210B3A"/>
    <w:rsid w:val="00210B70"/>
    <w:rsid w:val="0021267C"/>
    <w:rsid w:val="0022070B"/>
    <w:rsid w:val="00230C0E"/>
    <w:rsid w:val="00230C6A"/>
    <w:rsid w:val="002332A6"/>
    <w:rsid w:val="00234145"/>
    <w:rsid w:val="00235BCA"/>
    <w:rsid w:val="00236447"/>
    <w:rsid w:val="00236736"/>
    <w:rsid w:val="0023777F"/>
    <w:rsid w:val="00241059"/>
    <w:rsid w:val="002431E6"/>
    <w:rsid w:val="00244B52"/>
    <w:rsid w:val="002451CA"/>
    <w:rsid w:val="00246369"/>
    <w:rsid w:val="00246991"/>
    <w:rsid w:val="00247108"/>
    <w:rsid w:val="00253F83"/>
    <w:rsid w:val="002560E2"/>
    <w:rsid w:val="002564B3"/>
    <w:rsid w:val="002572B2"/>
    <w:rsid w:val="0026041E"/>
    <w:rsid w:val="002606E5"/>
    <w:rsid w:val="0026199D"/>
    <w:rsid w:val="002666B2"/>
    <w:rsid w:val="00270259"/>
    <w:rsid w:val="002705D2"/>
    <w:rsid w:val="00271E13"/>
    <w:rsid w:val="00276417"/>
    <w:rsid w:val="00277101"/>
    <w:rsid w:val="002773EE"/>
    <w:rsid w:val="002831E6"/>
    <w:rsid w:val="00286464"/>
    <w:rsid w:val="00287756"/>
    <w:rsid w:val="0028799B"/>
    <w:rsid w:val="00291889"/>
    <w:rsid w:val="002925D8"/>
    <w:rsid w:val="002936E0"/>
    <w:rsid w:val="002973B7"/>
    <w:rsid w:val="0029747F"/>
    <w:rsid w:val="002A02B0"/>
    <w:rsid w:val="002A13D9"/>
    <w:rsid w:val="002A381C"/>
    <w:rsid w:val="002A5397"/>
    <w:rsid w:val="002A572A"/>
    <w:rsid w:val="002A572C"/>
    <w:rsid w:val="002A611E"/>
    <w:rsid w:val="002A63FB"/>
    <w:rsid w:val="002A6649"/>
    <w:rsid w:val="002A6AC8"/>
    <w:rsid w:val="002A6E36"/>
    <w:rsid w:val="002B17DC"/>
    <w:rsid w:val="002B24AA"/>
    <w:rsid w:val="002B2FB1"/>
    <w:rsid w:val="002B47CE"/>
    <w:rsid w:val="002B6F72"/>
    <w:rsid w:val="002C0A13"/>
    <w:rsid w:val="002C4D36"/>
    <w:rsid w:val="002C5824"/>
    <w:rsid w:val="002C6B44"/>
    <w:rsid w:val="002C71F2"/>
    <w:rsid w:val="002C72FF"/>
    <w:rsid w:val="002D0419"/>
    <w:rsid w:val="002D0A73"/>
    <w:rsid w:val="002D3274"/>
    <w:rsid w:val="002D7C26"/>
    <w:rsid w:val="002D7EB9"/>
    <w:rsid w:val="002E348B"/>
    <w:rsid w:val="002E3542"/>
    <w:rsid w:val="002E4678"/>
    <w:rsid w:val="002E4732"/>
    <w:rsid w:val="002E7720"/>
    <w:rsid w:val="002F2A15"/>
    <w:rsid w:val="002F2A38"/>
    <w:rsid w:val="002F35F7"/>
    <w:rsid w:val="002F48EF"/>
    <w:rsid w:val="002F4A6D"/>
    <w:rsid w:val="002F6225"/>
    <w:rsid w:val="003015AC"/>
    <w:rsid w:val="003023A0"/>
    <w:rsid w:val="0030310D"/>
    <w:rsid w:val="00310980"/>
    <w:rsid w:val="00312C4B"/>
    <w:rsid w:val="00314477"/>
    <w:rsid w:val="00314819"/>
    <w:rsid w:val="0031612E"/>
    <w:rsid w:val="003203C5"/>
    <w:rsid w:val="00323D83"/>
    <w:rsid w:val="003242A3"/>
    <w:rsid w:val="00326411"/>
    <w:rsid w:val="00330315"/>
    <w:rsid w:val="00330932"/>
    <w:rsid w:val="00335E0E"/>
    <w:rsid w:val="003371B4"/>
    <w:rsid w:val="00337C34"/>
    <w:rsid w:val="00337F4C"/>
    <w:rsid w:val="00337F71"/>
    <w:rsid w:val="003413EC"/>
    <w:rsid w:val="00343609"/>
    <w:rsid w:val="00343F41"/>
    <w:rsid w:val="0034528B"/>
    <w:rsid w:val="00352719"/>
    <w:rsid w:val="003560FD"/>
    <w:rsid w:val="00356480"/>
    <w:rsid w:val="00360506"/>
    <w:rsid w:val="00360B0E"/>
    <w:rsid w:val="003615FB"/>
    <w:rsid w:val="00361F6F"/>
    <w:rsid w:val="00364B21"/>
    <w:rsid w:val="003711C0"/>
    <w:rsid w:val="003734D3"/>
    <w:rsid w:val="003741B3"/>
    <w:rsid w:val="00374264"/>
    <w:rsid w:val="00375A37"/>
    <w:rsid w:val="00377098"/>
    <w:rsid w:val="00380BE2"/>
    <w:rsid w:val="00382683"/>
    <w:rsid w:val="0038295F"/>
    <w:rsid w:val="00383BB6"/>
    <w:rsid w:val="00384766"/>
    <w:rsid w:val="0038504E"/>
    <w:rsid w:val="003858D5"/>
    <w:rsid w:val="003912A8"/>
    <w:rsid w:val="00391BE2"/>
    <w:rsid w:val="00392AC2"/>
    <w:rsid w:val="003A084E"/>
    <w:rsid w:val="003A0B81"/>
    <w:rsid w:val="003A67ED"/>
    <w:rsid w:val="003A69C7"/>
    <w:rsid w:val="003A74B7"/>
    <w:rsid w:val="003B08E8"/>
    <w:rsid w:val="003B1515"/>
    <w:rsid w:val="003B2692"/>
    <w:rsid w:val="003B3277"/>
    <w:rsid w:val="003C0515"/>
    <w:rsid w:val="003C0931"/>
    <w:rsid w:val="003C0EF3"/>
    <w:rsid w:val="003C2CDF"/>
    <w:rsid w:val="003C3A5B"/>
    <w:rsid w:val="003C5469"/>
    <w:rsid w:val="003C6385"/>
    <w:rsid w:val="003C69DD"/>
    <w:rsid w:val="003C6FEF"/>
    <w:rsid w:val="003D065C"/>
    <w:rsid w:val="003D0FAF"/>
    <w:rsid w:val="003D46A5"/>
    <w:rsid w:val="003D4B50"/>
    <w:rsid w:val="003D66BD"/>
    <w:rsid w:val="003D7256"/>
    <w:rsid w:val="003D780B"/>
    <w:rsid w:val="003E11AE"/>
    <w:rsid w:val="003E1C5E"/>
    <w:rsid w:val="003E2F0F"/>
    <w:rsid w:val="003E4795"/>
    <w:rsid w:val="003E6E70"/>
    <w:rsid w:val="003F0366"/>
    <w:rsid w:val="003F479C"/>
    <w:rsid w:val="00404214"/>
    <w:rsid w:val="00406D9D"/>
    <w:rsid w:val="004115E5"/>
    <w:rsid w:val="00412EBB"/>
    <w:rsid w:val="004151F3"/>
    <w:rsid w:val="00417A3F"/>
    <w:rsid w:val="0042081D"/>
    <w:rsid w:val="00421BEC"/>
    <w:rsid w:val="004226D7"/>
    <w:rsid w:val="00423508"/>
    <w:rsid w:val="004243C5"/>
    <w:rsid w:val="00424ADA"/>
    <w:rsid w:val="00426430"/>
    <w:rsid w:val="004318C6"/>
    <w:rsid w:val="00432F24"/>
    <w:rsid w:val="004351A1"/>
    <w:rsid w:val="0044439A"/>
    <w:rsid w:val="00445715"/>
    <w:rsid w:val="00447762"/>
    <w:rsid w:val="00450590"/>
    <w:rsid w:val="00450B7A"/>
    <w:rsid w:val="004510B2"/>
    <w:rsid w:val="00451ECE"/>
    <w:rsid w:val="00452E75"/>
    <w:rsid w:val="00453309"/>
    <w:rsid w:val="00456535"/>
    <w:rsid w:val="00456A67"/>
    <w:rsid w:val="00456D4C"/>
    <w:rsid w:val="004572A8"/>
    <w:rsid w:val="004609BE"/>
    <w:rsid w:val="0046106B"/>
    <w:rsid w:val="00462712"/>
    <w:rsid w:val="0046279E"/>
    <w:rsid w:val="00463013"/>
    <w:rsid w:val="00463ABF"/>
    <w:rsid w:val="00463DBB"/>
    <w:rsid w:val="00464544"/>
    <w:rsid w:val="00466070"/>
    <w:rsid w:val="004663DD"/>
    <w:rsid w:val="00467362"/>
    <w:rsid w:val="00467924"/>
    <w:rsid w:val="00471B82"/>
    <w:rsid w:val="0047341E"/>
    <w:rsid w:val="004763AA"/>
    <w:rsid w:val="00480F78"/>
    <w:rsid w:val="00481BD8"/>
    <w:rsid w:val="0048494D"/>
    <w:rsid w:val="00486407"/>
    <w:rsid w:val="00486F4E"/>
    <w:rsid w:val="00490F14"/>
    <w:rsid w:val="00493212"/>
    <w:rsid w:val="004A002F"/>
    <w:rsid w:val="004A25A7"/>
    <w:rsid w:val="004A417F"/>
    <w:rsid w:val="004A4455"/>
    <w:rsid w:val="004A6BB0"/>
    <w:rsid w:val="004B0B73"/>
    <w:rsid w:val="004B19B6"/>
    <w:rsid w:val="004B213D"/>
    <w:rsid w:val="004B2C2D"/>
    <w:rsid w:val="004B4F60"/>
    <w:rsid w:val="004C1457"/>
    <w:rsid w:val="004C2725"/>
    <w:rsid w:val="004C3EFA"/>
    <w:rsid w:val="004C7746"/>
    <w:rsid w:val="004D0C35"/>
    <w:rsid w:val="004D0CC7"/>
    <w:rsid w:val="004D1903"/>
    <w:rsid w:val="004D5354"/>
    <w:rsid w:val="004D578B"/>
    <w:rsid w:val="004D57DB"/>
    <w:rsid w:val="004D5A7C"/>
    <w:rsid w:val="004D6574"/>
    <w:rsid w:val="004D7BB2"/>
    <w:rsid w:val="004E039F"/>
    <w:rsid w:val="004E053D"/>
    <w:rsid w:val="004E25E2"/>
    <w:rsid w:val="004E3670"/>
    <w:rsid w:val="004E3BF3"/>
    <w:rsid w:val="004E4375"/>
    <w:rsid w:val="004E514D"/>
    <w:rsid w:val="004E664B"/>
    <w:rsid w:val="004E7219"/>
    <w:rsid w:val="004E7872"/>
    <w:rsid w:val="004F0E89"/>
    <w:rsid w:val="004F5F2B"/>
    <w:rsid w:val="004F656D"/>
    <w:rsid w:val="004F76E3"/>
    <w:rsid w:val="0050050B"/>
    <w:rsid w:val="0050128F"/>
    <w:rsid w:val="005020D0"/>
    <w:rsid w:val="005030B7"/>
    <w:rsid w:val="005106E9"/>
    <w:rsid w:val="00511705"/>
    <w:rsid w:val="00513957"/>
    <w:rsid w:val="0051534A"/>
    <w:rsid w:val="00515504"/>
    <w:rsid w:val="0051554F"/>
    <w:rsid w:val="0051571C"/>
    <w:rsid w:val="005170F0"/>
    <w:rsid w:val="00517459"/>
    <w:rsid w:val="00522CB9"/>
    <w:rsid w:val="00523088"/>
    <w:rsid w:val="00523279"/>
    <w:rsid w:val="0052392A"/>
    <w:rsid w:val="00523965"/>
    <w:rsid w:val="00526D17"/>
    <w:rsid w:val="005316F2"/>
    <w:rsid w:val="005319A4"/>
    <w:rsid w:val="0053398D"/>
    <w:rsid w:val="00534CCF"/>
    <w:rsid w:val="0053503C"/>
    <w:rsid w:val="005403F2"/>
    <w:rsid w:val="00542066"/>
    <w:rsid w:val="00543269"/>
    <w:rsid w:val="005446F5"/>
    <w:rsid w:val="00544A7C"/>
    <w:rsid w:val="0055003D"/>
    <w:rsid w:val="00550EA8"/>
    <w:rsid w:val="00551364"/>
    <w:rsid w:val="005525D3"/>
    <w:rsid w:val="00552AF7"/>
    <w:rsid w:val="00553801"/>
    <w:rsid w:val="005539C6"/>
    <w:rsid w:val="00553A39"/>
    <w:rsid w:val="00553D50"/>
    <w:rsid w:val="00556C60"/>
    <w:rsid w:val="00556E89"/>
    <w:rsid w:val="0056066B"/>
    <w:rsid w:val="005623F5"/>
    <w:rsid w:val="00562455"/>
    <w:rsid w:val="0056314F"/>
    <w:rsid w:val="0056370E"/>
    <w:rsid w:val="00563A0B"/>
    <w:rsid w:val="005717E9"/>
    <w:rsid w:val="00573BEB"/>
    <w:rsid w:val="005743C9"/>
    <w:rsid w:val="00574EC5"/>
    <w:rsid w:val="0058424C"/>
    <w:rsid w:val="00584EAB"/>
    <w:rsid w:val="005863A7"/>
    <w:rsid w:val="00591CE7"/>
    <w:rsid w:val="00592DAC"/>
    <w:rsid w:val="0059770F"/>
    <w:rsid w:val="00597B7F"/>
    <w:rsid w:val="005A3430"/>
    <w:rsid w:val="005A39EF"/>
    <w:rsid w:val="005A5043"/>
    <w:rsid w:val="005B039B"/>
    <w:rsid w:val="005B155B"/>
    <w:rsid w:val="005B1CC3"/>
    <w:rsid w:val="005B248C"/>
    <w:rsid w:val="005B3CF6"/>
    <w:rsid w:val="005B5026"/>
    <w:rsid w:val="005B5616"/>
    <w:rsid w:val="005B7A89"/>
    <w:rsid w:val="005C07AB"/>
    <w:rsid w:val="005C44BB"/>
    <w:rsid w:val="005C58F7"/>
    <w:rsid w:val="005C7276"/>
    <w:rsid w:val="005C733E"/>
    <w:rsid w:val="005D25D3"/>
    <w:rsid w:val="005D3FF8"/>
    <w:rsid w:val="005D7C59"/>
    <w:rsid w:val="005E0107"/>
    <w:rsid w:val="005E090C"/>
    <w:rsid w:val="005E2831"/>
    <w:rsid w:val="005E4881"/>
    <w:rsid w:val="005E5841"/>
    <w:rsid w:val="005E690A"/>
    <w:rsid w:val="005E7E3C"/>
    <w:rsid w:val="005F1CF1"/>
    <w:rsid w:val="005F3B41"/>
    <w:rsid w:val="005F4BD2"/>
    <w:rsid w:val="005F65B4"/>
    <w:rsid w:val="005F6802"/>
    <w:rsid w:val="005F6D3C"/>
    <w:rsid w:val="005F75ED"/>
    <w:rsid w:val="005F7CFF"/>
    <w:rsid w:val="006038BC"/>
    <w:rsid w:val="00605FB6"/>
    <w:rsid w:val="00606B2E"/>
    <w:rsid w:val="00607066"/>
    <w:rsid w:val="00607CC8"/>
    <w:rsid w:val="00610F49"/>
    <w:rsid w:val="00611BD0"/>
    <w:rsid w:val="006124A6"/>
    <w:rsid w:val="006137A4"/>
    <w:rsid w:val="006139E0"/>
    <w:rsid w:val="00614616"/>
    <w:rsid w:val="00615980"/>
    <w:rsid w:val="00617C14"/>
    <w:rsid w:val="006217C8"/>
    <w:rsid w:val="006221EC"/>
    <w:rsid w:val="00624950"/>
    <w:rsid w:val="00624E80"/>
    <w:rsid w:val="00626C98"/>
    <w:rsid w:val="006273F5"/>
    <w:rsid w:val="0063021F"/>
    <w:rsid w:val="00633416"/>
    <w:rsid w:val="006335D0"/>
    <w:rsid w:val="006347DC"/>
    <w:rsid w:val="00634818"/>
    <w:rsid w:val="00636727"/>
    <w:rsid w:val="00636F6F"/>
    <w:rsid w:val="00636FCB"/>
    <w:rsid w:val="006376D4"/>
    <w:rsid w:val="00641468"/>
    <w:rsid w:val="0064173D"/>
    <w:rsid w:val="00642987"/>
    <w:rsid w:val="0064310D"/>
    <w:rsid w:val="00650F76"/>
    <w:rsid w:val="006511B1"/>
    <w:rsid w:val="006514B7"/>
    <w:rsid w:val="00651C6F"/>
    <w:rsid w:val="00652414"/>
    <w:rsid w:val="00653204"/>
    <w:rsid w:val="00654364"/>
    <w:rsid w:val="00654549"/>
    <w:rsid w:val="0065468E"/>
    <w:rsid w:val="00654E5D"/>
    <w:rsid w:val="00656C61"/>
    <w:rsid w:val="0065790B"/>
    <w:rsid w:val="00660924"/>
    <w:rsid w:val="00660A27"/>
    <w:rsid w:val="00661489"/>
    <w:rsid w:val="00661E49"/>
    <w:rsid w:val="00662B0E"/>
    <w:rsid w:val="00664FA5"/>
    <w:rsid w:val="00665EE0"/>
    <w:rsid w:val="006670FF"/>
    <w:rsid w:val="00675F8C"/>
    <w:rsid w:val="0067655C"/>
    <w:rsid w:val="00677190"/>
    <w:rsid w:val="0068261B"/>
    <w:rsid w:val="00682BA8"/>
    <w:rsid w:val="006845A9"/>
    <w:rsid w:val="00684AEF"/>
    <w:rsid w:val="00685FB2"/>
    <w:rsid w:val="00686004"/>
    <w:rsid w:val="00687386"/>
    <w:rsid w:val="006908D3"/>
    <w:rsid w:val="00691304"/>
    <w:rsid w:val="006913B6"/>
    <w:rsid w:val="006921FD"/>
    <w:rsid w:val="00693AAB"/>
    <w:rsid w:val="006943AF"/>
    <w:rsid w:val="00695424"/>
    <w:rsid w:val="006A1C56"/>
    <w:rsid w:val="006A3EB0"/>
    <w:rsid w:val="006A4133"/>
    <w:rsid w:val="006B12A4"/>
    <w:rsid w:val="006B342C"/>
    <w:rsid w:val="006B3FE7"/>
    <w:rsid w:val="006B4024"/>
    <w:rsid w:val="006B4545"/>
    <w:rsid w:val="006B4A0C"/>
    <w:rsid w:val="006B4EE8"/>
    <w:rsid w:val="006B683D"/>
    <w:rsid w:val="006B7429"/>
    <w:rsid w:val="006C0560"/>
    <w:rsid w:val="006C059D"/>
    <w:rsid w:val="006D060D"/>
    <w:rsid w:val="006D1428"/>
    <w:rsid w:val="006D17B8"/>
    <w:rsid w:val="006D5288"/>
    <w:rsid w:val="006D546B"/>
    <w:rsid w:val="006D640A"/>
    <w:rsid w:val="006D71C6"/>
    <w:rsid w:val="006D721C"/>
    <w:rsid w:val="006E130B"/>
    <w:rsid w:val="006E238E"/>
    <w:rsid w:val="006E3801"/>
    <w:rsid w:val="006E5116"/>
    <w:rsid w:val="006E566D"/>
    <w:rsid w:val="006E5944"/>
    <w:rsid w:val="006E61C6"/>
    <w:rsid w:val="006E716B"/>
    <w:rsid w:val="006E796C"/>
    <w:rsid w:val="006F30C5"/>
    <w:rsid w:val="006F3FA9"/>
    <w:rsid w:val="006F4DD7"/>
    <w:rsid w:val="006F5DDF"/>
    <w:rsid w:val="007012C0"/>
    <w:rsid w:val="00702E01"/>
    <w:rsid w:val="00702E31"/>
    <w:rsid w:val="00703F19"/>
    <w:rsid w:val="00704F7D"/>
    <w:rsid w:val="00705048"/>
    <w:rsid w:val="007065F1"/>
    <w:rsid w:val="00707906"/>
    <w:rsid w:val="0071028C"/>
    <w:rsid w:val="00710618"/>
    <w:rsid w:val="00710E33"/>
    <w:rsid w:val="00712783"/>
    <w:rsid w:val="00712B2C"/>
    <w:rsid w:val="00713E8D"/>
    <w:rsid w:val="007143D6"/>
    <w:rsid w:val="007157E1"/>
    <w:rsid w:val="00716910"/>
    <w:rsid w:val="007172F7"/>
    <w:rsid w:val="00717A8C"/>
    <w:rsid w:val="00723440"/>
    <w:rsid w:val="007235E3"/>
    <w:rsid w:val="007239FD"/>
    <w:rsid w:val="00725A96"/>
    <w:rsid w:val="00726BDF"/>
    <w:rsid w:val="007332AF"/>
    <w:rsid w:val="00734DF8"/>
    <w:rsid w:val="00740ED8"/>
    <w:rsid w:val="007426FD"/>
    <w:rsid w:val="007429FA"/>
    <w:rsid w:val="00745503"/>
    <w:rsid w:val="00745755"/>
    <w:rsid w:val="00746741"/>
    <w:rsid w:val="00747599"/>
    <w:rsid w:val="00747B49"/>
    <w:rsid w:val="00756852"/>
    <w:rsid w:val="0075723F"/>
    <w:rsid w:val="00762BB9"/>
    <w:rsid w:val="007659C0"/>
    <w:rsid w:val="00770099"/>
    <w:rsid w:val="00770BC3"/>
    <w:rsid w:val="007724D1"/>
    <w:rsid w:val="00775CAB"/>
    <w:rsid w:val="0077747E"/>
    <w:rsid w:val="00777A92"/>
    <w:rsid w:val="00782CE9"/>
    <w:rsid w:val="00783DC9"/>
    <w:rsid w:val="007856F6"/>
    <w:rsid w:val="00794031"/>
    <w:rsid w:val="0079709F"/>
    <w:rsid w:val="007A6067"/>
    <w:rsid w:val="007B15DE"/>
    <w:rsid w:val="007B4EE7"/>
    <w:rsid w:val="007C3807"/>
    <w:rsid w:val="007C38C3"/>
    <w:rsid w:val="007C698F"/>
    <w:rsid w:val="007C69AF"/>
    <w:rsid w:val="007C6D66"/>
    <w:rsid w:val="007C79AA"/>
    <w:rsid w:val="007C7D62"/>
    <w:rsid w:val="007D043C"/>
    <w:rsid w:val="007D1253"/>
    <w:rsid w:val="007D1D38"/>
    <w:rsid w:val="007D2158"/>
    <w:rsid w:val="007D3A36"/>
    <w:rsid w:val="007D5978"/>
    <w:rsid w:val="007D6975"/>
    <w:rsid w:val="007D7046"/>
    <w:rsid w:val="007D784E"/>
    <w:rsid w:val="007D790E"/>
    <w:rsid w:val="007D7917"/>
    <w:rsid w:val="007E19BC"/>
    <w:rsid w:val="007E21D6"/>
    <w:rsid w:val="007F0AAC"/>
    <w:rsid w:val="007F2209"/>
    <w:rsid w:val="007F4369"/>
    <w:rsid w:val="007F54CB"/>
    <w:rsid w:val="007F775D"/>
    <w:rsid w:val="00803A9E"/>
    <w:rsid w:val="00804DC5"/>
    <w:rsid w:val="00806358"/>
    <w:rsid w:val="00806625"/>
    <w:rsid w:val="008071F7"/>
    <w:rsid w:val="0080729F"/>
    <w:rsid w:val="00807471"/>
    <w:rsid w:val="00807C4C"/>
    <w:rsid w:val="00810CB0"/>
    <w:rsid w:val="00811901"/>
    <w:rsid w:val="00812F6C"/>
    <w:rsid w:val="00815619"/>
    <w:rsid w:val="00815E45"/>
    <w:rsid w:val="008166BC"/>
    <w:rsid w:val="00820E43"/>
    <w:rsid w:val="008230DA"/>
    <w:rsid w:val="00824271"/>
    <w:rsid w:val="008245E1"/>
    <w:rsid w:val="00825812"/>
    <w:rsid w:val="00825FA7"/>
    <w:rsid w:val="008300BE"/>
    <w:rsid w:val="008335FF"/>
    <w:rsid w:val="008373EA"/>
    <w:rsid w:val="00840917"/>
    <w:rsid w:val="00841029"/>
    <w:rsid w:val="00845941"/>
    <w:rsid w:val="0084595D"/>
    <w:rsid w:val="00850178"/>
    <w:rsid w:val="00850757"/>
    <w:rsid w:val="0085210D"/>
    <w:rsid w:val="00854FCC"/>
    <w:rsid w:val="00857975"/>
    <w:rsid w:val="008622B6"/>
    <w:rsid w:val="0086463D"/>
    <w:rsid w:val="00864650"/>
    <w:rsid w:val="00867B13"/>
    <w:rsid w:val="0087155D"/>
    <w:rsid w:val="0087186E"/>
    <w:rsid w:val="00871CAB"/>
    <w:rsid w:val="00874801"/>
    <w:rsid w:val="00875D93"/>
    <w:rsid w:val="0088046B"/>
    <w:rsid w:val="00887135"/>
    <w:rsid w:val="00890BCD"/>
    <w:rsid w:val="008917AE"/>
    <w:rsid w:val="00893D6E"/>
    <w:rsid w:val="00895F6D"/>
    <w:rsid w:val="008A0044"/>
    <w:rsid w:val="008A1549"/>
    <w:rsid w:val="008A32BF"/>
    <w:rsid w:val="008A3678"/>
    <w:rsid w:val="008A6A8C"/>
    <w:rsid w:val="008B08FC"/>
    <w:rsid w:val="008B141D"/>
    <w:rsid w:val="008B17C9"/>
    <w:rsid w:val="008B19CA"/>
    <w:rsid w:val="008B1D6D"/>
    <w:rsid w:val="008B2919"/>
    <w:rsid w:val="008B640E"/>
    <w:rsid w:val="008B6B7C"/>
    <w:rsid w:val="008C2D2B"/>
    <w:rsid w:val="008C3396"/>
    <w:rsid w:val="008C3407"/>
    <w:rsid w:val="008C5B3A"/>
    <w:rsid w:val="008D176B"/>
    <w:rsid w:val="008D3344"/>
    <w:rsid w:val="008D3B53"/>
    <w:rsid w:val="008D48B8"/>
    <w:rsid w:val="008D6295"/>
    <w:rsid w:val="008E179B"/>
    <w:rsid w:val="008E49DC"/>
    <w:rsid w:val="008E5974"/>
    <w:rsid w:val="008F0F82"/>
    <w:rsid w:val="008F1B94"/>
    <w:rsid w:val="008F2928"/>
    <w:rsid w:val="008F2C43"/>
    <w:rsid w:val="008F47AB"/>
    <w:rsid w:val="008F662C"/>
    <w:rsid w:val="009004D4"/>
    <w:rsid w:val="00903035"/>
    <w:rsid w:val="0090320E"/>
    <w:rsid w:val="00904BD3"/>
    <w:rsid w:val="00905ED1"/>
    <w:rsid w:val="009060CB"/>
    <w:rsid w:val="009074B0"/>
    <w:rsid w:val="00910F1A"/>
    <w:rsid w:val="00916629"/>
    <w:rsid w:val="00916DFA"/>
    <w:rsid w:val="00917E35"/>
    <w:rsid w:val="00917F22"/>
    <w:rsid w:val="0092538F"/>
    <w:rsid w:val="00926AB4"/>
    <w:rsid w:val="00926D72"/>
    <w:rsid w:val="00931A58"/>
    <w:rsid w:val="00934D02"/>
    <w:rsid w:val="00934E3C"/>
    <w:rsid w:val="00935CAC"/>
    <w:rsid w:val="009412FA"/>
    <w:rsid w:val="009423FC"/>
    <w:rsid w:val="009440A3"/>
    <w:rsid w:val="0094680F"/>
    <w:rsid w:val="00950989"/>
    <w:rsid w:val="00950CD1"/>
    <w:rsid w:val="00950DD0"/>
    <w:rsid w:val="00953058"/>
    <w:rsid w:val="00954753"/>
    <w:rsid w:val="0095559D"/>
    <w:rsid w:val="00961726"/>
    <w:rsid w:val="00962694"/>
    <w:rsid w:val="009726D5"/>
    <w:rsid w:val="00974E31"/>
    <w:rsid w:val="009760DB"/>
    <w:rsid w:val="00980272"/>
    <w:rsid w:val="00985437"/>
    <w:rsid w:val="00985A8D"/>
    <w:rsid w:val="00985C6C"/>
    <w:rsid w:val="00985D5B"/>
    <w:rsid w:val="00986024"/>
    <w:rsid w:val="0099010B"/>
    <w:rsid w:val="00990A62"/>
    <w:rsid w:val="009923E1"/>
    <w:rsid w:val="00992B60"/>
    <w:rsid w:val="009934D7"/>
    <w:rsid w:val="00993EFC"/>
    <w:rsid w:val="009961B3"/>
    <w:rsid w:val="009966F7"/>
    <w:rsid w:val="00996992"/>
    <w:rsid w:val="009A0BA1"/>
    <w:rsid w:val="009A2A41"/>
    <w:rsid w:val="009A6A6A"/>
    <w:rsid w:val="009B023E"/>
    <w:rsid w:val="009B061D"/>
    <w:rsid w:val="009B24AE"/>
    <w:rsid w:val="009B3898"/>
    <w:rsid w:val="009B5EAF"/>
    <w:rsid w:val="009B66A2"/>
    <w:rsid w:val="009B7B45"/>
    <w:rsid w:val="009C597A"/>
    <w:rsid w:val="009C59A0"/>
    <w:rsid w:val="009C79F3"/>
    <w:rsid w:val="009C7D4A"/>
    <w:rsid w:val="009C7EB1"/>
    <w:rsid w:val="009D744F"/>
    <w:rsid w:val="009E34F6"/>
    <w:rsid w:val="009E4C4D"/>
    <w:rsid w:val="009F4840"/>
    <w:rsid w:val="009F5AA2"/>
    <w:rsid w:val="009F768E"/>
    <w:rsid w:val="009F769F"/>
    <w:rsid w:val="00A01C61"/>
    <w:rsid w:val="00A03298"/>
    <w:rsid w:val="00A04962"/>
    <w:rsid w:val="00A04AF0"/>
    <w:rsid w:val="00A04EE4"/>
    <w:rsid w:val="00A10619"/>
    <w:rsid w:val="00A11950"/>
    <w:rsid w:val="00A13CA8"/>
    <w:rsid w:val="00A242D0"/>
    <w:rsid w:val="00A2774D"/>
    <w:rsid w:val="00A304DD"/>
    <w:rsid w:val="00A30799"/>
    <w:rsid w:val="00A3278B"/>
    <w:rsid w:val="00A353F7"/>
    <w:rsid w:val="00A356C3"/>
    <w:rsid w:val="00A36832"/>
    <w:rsid w:val="00A3698C"/>
    <w:rsid w:val="00A36A15"/>
    <w:rsid w:val="00A405AF"/>
    <w:rsid w:val="00A40E99"/>
    <w:rsid w:val="00A427E8"/>
    <w:rsid w:val="00A468F2"/>
    <w:rsid w:val="00A508CB"/>
    <w:rsid w:val="00A51152"/>
    <w:rsid w:val="00A519EC"/>
    <w:rsid w:val="00A542E3"/>
    <w:rsid w:val="00A56E7C"/>
    <w:rsid w:val="00A66652"/>
    <w:rsid w:val="00A67FDE"/>
    <w:rsid w:val="00A70255"/>
    <w:rsid w:val="00A704C6"/>
    <w:rsid w:val="00A72C26"/>
    <w:rsid w:val="00A75A99"/>
    <w:rsid w:val="00A75C3B"/>
    <w:rsid w:val="00A82D75"/>
    <w:rsid w:val="00A84ADE"/>
    <w:rsid w:val="00A85A81"/>
    <w:rsid w:val="00A9102F"/>
    <w:rsid w:val="00A91984"/>
    <w:rsid w:val="00A91A8D"/>
    <w:rsid w:val="00A9414D"/>
    <w:rsid w:val="00A94DDE"/>
    <w:rsid w:val="00A95921"/>
    <w:rsid w:val="00A96B52"/>
    <w:rsid w:val="00A97FD1"/>
    <w:rsid w:val="00AA6CD3"/>
    <w:rsid w:val="00AA6F3B"/>
    <w:rsid w:val="00AA7F8D"/>
    <w:rsid w:val="00AB0617"/>
    <w:rsid w:val="00AB0BC8"/>
    <w:rsid w:val="00AB123B"/>
    <w:rsid w:val="00AB2860"/>
    <w:rsid w:val="00AB2D79"/>
    <w:rsid w:val="00AB2DD9"/>
    <w:rsid w:val="00AB3C2E"/>
    <w:rsid w:val="00AB5794"/>
    <w:rsid w:val="00AC3B50"/>
    <w:rsid w:val="00AC3D9B"/>
    <w:rsid w:val="00AC4603"/>
    <w:rsid w:val="00AC6E6F"/>
    <w:rsid w:val="00AD1935"/>
    <w:rsid w:val="00AD1A09"/>
    <w:rsid w:val="00AD7834"/>
    <w:rsid w:val="00AD7A82"/>
    <w:rsid w:val="00AE3AEB"/>
    <w:rsid w:val="00AE43FD"/>
    <w:rsid w:val="00AE4646"/>
    <w:rsid w:val="00AE4A40"/>
    <w:rsid w:val="00AE7510"/>
    <w:rsid w:val="00AF215D"/>
    <w:rsid w:val="00AF4889"/>
    <w:rsid w:val="00AF6772"/>
    <w:rsid w:val="00B011E4"/>
    <w:rsid w:val="00B03683"/>
    <w:rsid w:val="00B03837"/>
    <w:rsid w:val="00B11EAE"/>
    <w:rsid w:val="00B133ED"/>
    <w:rsid w:val="00B17034"/>
    <w:rsid w:val="00B2487A"/>
    <w:rsid w:val="00B2786C"/>
    <w:rsid w:val="00B31685"/>
    <w:rsid w:val="00B335BA"/>
    <w:rsid w:val="00B34FD8"/>
    <w:rsid w:val="00B36AEC"/>
    <w:rsid w:val="00B36D91"/>
    <w:rsid w:val="00B37B89"/>
    <w:rsid w:val="00B40E99"/>
    <w:rsid w:val="00B4268C"/>
    <w:rsid w:val="00B45602"/>
    <w:rsid w:val="00B47F50"/>
    <w:rsid w:val="00B50CA0"/>
    <w:rsid w:val="00B51181"/>
    <w:rsid w:val="00B51709"/>
    <w:rsid w:val="00B53398"/>
    <w:rsid w:val="00B5735A"/>
    <w:rsid w:val="00B60995"/>
    <w:rsid w:val="00B620CC"/>
    <w:rsid w:val="00B63B5B"/>
    <w:rsid w:val="00B669D5"/>
    <w:rsid w:val="00B72AF4"/>
    <w:rsid w:val="00B7408F"/>
    <w:rsid w:val="00B763A5"/>
    <w:rsid w:val="00B76DEA"/>
    <w:rsid w:val="00B83EAA"/>
    <w:rsid w:val="00B84905"/>
    <w:rsid w:val="00B855F5"/>
    <w:rsid w:val="00B8647C"/>
    <w:rsid w:val="00B866F4"/>
    <w:rsid w:val="00B86B9D"/>
    <w:rsid w:val="00B90474"/>
    <w:rsid w:val="00B909C3"/>
    <w:rsid w:val="00B94D5E"/>
    <w:rsid w:val="00B96C47"/>
    <w:rsid w:val="00BA2DB3"/>
    <w:rsid w:val="00BA3215"/>
    <w:rsid w:val="00BA3CD9"/>
    <w:rsid w:val="00BA4016"/>
    <w:rsid w:val="00BA46F2"/>
    <w:rsid w:val="00BA5BC1"/>
    <w:rsid w:val="00BB20C3"/>
    <w:rsid w:val="00BB2637"/>
    <w:rsid w:val="00BB37BF"/>
    <w:rsid w:val="00BB5EFD"/>
    <w:rsid w:val="00BB6BF7"/>
    <w:rsid w:val="00BC3261"/>
    <w:rsid w:val="00BD0353"/>
    <w:rsid w:val="00BD0651"/>
    <w:rsid w:val="00BD0F23"/>
    <w:rsid w:val="00BD24EB"/>
    <w:rsid w:val="00BD399A"/>
    <w:rsid w:val="00BD63C9"/>
    <w:rsid w:val="00BD708C"/>
    <w:rsid w:val="00BE0EAA"/>
    <w:rsid w:val="00BE0F4A"/>
    <w:rsid w:val="00BE1816"/>
    <w:rsid w:val="00BE194F"/>
    <w:rsid w:val="00BE3FC4"/>
    <w:rsid w:val="00BE4E23"/>
    <w:rsid w:val="00BE7948"/>
    <w:rsid w:val="00BF116E"/>
    <w:rsid w:val="00BF1497"/>
    <w:rsid w:val="00BF1ADB"/>
    <w:rsid w:val="00BF2F6F"/>
    <w:rsid w:val="00BF3184"/>
    <w:rsid w:val="00BF3534"/>
    <w:rsid w:val="00BF3910"/>
    <w:rsid w:val="00BF3A6B"/>
    <w:rsid w:val="00BF4B05"/>
    <w:rsid w:val="00BF549F"/>
    <w:rsid w:val="00BF55EE"/>
    <w:rsid w:val="00BF615C"/>
    <w:rsid w:val="00C001D0"/>
    <w:rsid w:val="00C02D68"/>
    <w:rsid w:val="00C040ED"/>
    <w:rsid w:val="00C04925"/>
    <w:rsid w:val="00C050CB"/>
    <w:rsid w:val="00C06355"/>
    <w:rsid w:val="00C07082"/>
    <w:rsid w:val="00C07A66"/>
    <w:rsid w:val="00C07D71"/>
    <w:rsid w:val="00C07D7B"/>
    <w:rsid w:val="00C1161C"/>
    <w:rsid w:val="00C11B8B"/>
    <w:rsid w:val="00C1268C"/>
    <w:rsid w:val="00C12F0F"/>
    <w:rsid w:val="00C1552F"/>
    <w:rsid w:val="00C16589"/>
    <w:rsid w:val="00C166EB"/>
    <w:rsid w:val="00C1683A"/>
    <w:rsid w:val="00C21BFC"/>
    <w:rsid w:val="00C220E3"/>
    <w:rsid w:val="00C22311"/>
    <w:rsid w:val="00C2526F"/>
    <w:rsid w:val="00C25482"/>
    <w:rsid w:val="00C26E2F"/>
    <w:rsid w:val="00C27161"/>
    <w:rsid w:val="00C2719B"/>
    <w:rsid w:val="00C2751E"/>
    <w:rsid w:val="00C3012B"/>
    <w:rsid w:val="00C3176E"/>
    <w:rsid w:val="00C32C83"/>
    <w:rsid w:val="00C332F1"/>
    <w:rsid w:val="00C41615"/>
    <w:rsid w:val="00C41B21"/>
    <w:rsid w:val="00C43084"/>
    <w:rsid w:val="00C44E46"/>
    <w:rsid w:val="00C45404"/>
    <w:rsid w:val="00C47A3A"/>
    <w:rsid w:val="00C47CAD"/>
    <w:rsid w:val="00C506B5"/>
    <w:rsid w:val="00C51318"/>
    <w:rsid w:val="00C51F92"/>
    <w:rsid w:val="00C55A9C"/>
    <w:rsid w:val="00C56073"/>
    <w:rsid w:val="00C611C9"/>
    <w:rsid w:val="00C6200A"/>
    <w:rsid w:val="00C6502B"/>
    <w:rsid w:val="00C66C0B"/>
    <w:rsid w:val="00C71D6B"/>
    <w:rsid w:val="00C743F6"/>
    <w:rsid w:val="00C808F2"/>
    <w:rsid w:val="00C81D11"/>
    <w:rsid w:val="00C81E1B"/>
    <w:rsid w:val="00C82D9C"/>
    <w:rsid w:val="00C83974"/>
    <w:rsid w:val="00C84E31"/>
    <w:rsid w:val="00C853EF"/>
    <w:rsid w:val="00C874E5"/>
    <w:rsid w:val="00C927B2"/>
    <w:rsid w:val="00C93FA1"/>
    <w:rsid w:val="00C9448F"/>
    <w:rsid w:val="00C96B2F"/>
    <w:rsid w:val="00CA1190"/>
    <w:rsid w:val="00CA12BA"/>
    <w:rsid w:val="00CA1E5B"/>
    <w:rsid w:val="00CA4090"/>
    <w:rsid w:val="00CA7F9C"/>
    <w:rsid w:val="00CB7F9A"/>
    <w:rsid w:val="00CC0B11"/>
    <w:rsid w:val="00CC47BA"/>
    <w:rsid w:val="00CC4B59"/>
    <w:rsid w:val="00CC52EC"/>
    <w:rsid w:val="00CC6E50"/>
    <w:rsid w:val="00CC73F7"/>
    <w:rsid w:val="00CC790C"/>
    <w:rsid w:val="00CD1EBE"/>
    <w:rsid w:val="00CD548E"/>
    <w:rsid w:val="00CD57DA"/>
    <w:rsid w:val="00CD799E"/>
    <w:rsid w:val="00CE063A"/>
    <w:rsid w:val="00CE1ED2"/>
    <w:rsid w:val="00CE292D"/>
    <w:rsid w:val="00CE425D"/>
    <w:rsid w:val="00CE45B6"/>
    <w:rsid w:val="00CE5650"/>
    <w:rsid w:val="00CF024B"/>
    <w:rsid w:val="00CF02B5"/>
    <w:rsid w:val="00CF0586"/>
    <w:rsid w:val="00CF1DD1"/>
    <w:rsid w:val="00CF22E8"/>
    <w:rsid w:val="00CF252B"/>
    <w:rsid w:val="00CF7BF1"/>
    <w:rsid w:val="00D02632"/>
    <w:rsid w:val="00D03B68"/>
    <w:rsid w:val="00D05D4A"/>
    <w:rsid w:val="00D06C6B"/>
    <w:rsid w:val="00D07BAF"/>
    <w:rsid w:val="00D103A8"/>
    <w:rsid w:val="00D12E4F"/>
    <w:rsid w:val="00D136C3"/>
    <w:rsid w:val="00D156F0"/>
    <w:rsid w:val="00D22E38"/>
    <w:rsid w:val="00D22F13"/>
    <w:rsid w:val="00D23E56"/>
    <w:rsid w:val="00D2623A"/>
    <w:rsid w:val="00D265B4"/>
    <w:rsid w:val="00D31DC8"/>
    <w:rsid w:val="00D31FFF"/>
    <w:rsid w:val="00D35BF0"/>
    <w:rsid w:val="00D36FBF"/>
    <w:rsid w:val="00D40A41"/>
    <w:rsid w:val="00D41A04"/>
    <w:rsid w:val="00D41EB1"/>
    <w:rsid w:val="00D4295E"/>
    <w:rsid w:val="00D43747"/>
    <w:rsid w:val="00D4399C"/>
    <w:rsid w:val="00D46CBF"/>
    <w:rsid w:val="00D46F70"/>
    <w:rsid w:val="00D473D3"/>
    <w:rsid w:val="00D47FF3"/>
    <w:rsid w:val="00D504A3"/>
    <w:rsid w:val="00D505B8"/>
    <w:rsid w:val="00D51161"/>
    <w:rsid w:val="00D5155E"/>
    <w:rsid w:val="00D51FBF"/>
    <w:rsid w:val="00D536F4"/>
    <w:rsid w:val="00D566BB"/>
    <w:rsid w:val="00D603CB"/>
    <w:rsid w:val="00D609D1"/>
    <w:rsid w:val="00D61447"/>
    <w:rsid w:val="00D63EA5"/>
    <w:rsid w:val="00D65068"/>
    <w:rsid w:val="00D65D53"/>
    <w:rsid w:val="00D660C1"/>
    <w:rsid w:val="00D66FC2"/>
    <w:rsid w:val="00D67C64"/>
    <w:rsid w:val="00D67FAC"/>
    <w:rsid w:val="00D72009"/>
    <w:rsid w:val="00D72565"/>
    <w:rsid w:val="00D74729"/>
    <w:rsid w:val="00D76C1A"/>
    <w:rsid w:val="00D824D3"/>
    <w:rsid w:val="00D872A4"/>
    <w:rsid w:val="00D904EF"/>
    <w:rsid w:val="00D911F2"/>
    <w:rsid w:val="00D91DCD"/>
    <w:rsid w:val="00D9301F"/>
    <w:rsid w:val="00D93DDA"/>
    <w:rsid w:val="00D93F38"/>
    <w:rsid w:val="00D942B1"/>
    <w:rsid w:val="00DA056D"/>
    <w:rsid w:val="00DA12A6"/>
    <w:rsid w:val="00DA19CD"/>
    <w:rsid w:val="00DA4FFB"/>
    <w:rsid w:val="00DA6119"/>
    <w:rsid w:val="00DB09FE"/>
    <w:rsid w:val="00DB0CEE"/>
    <w:rsid w:val="00DB1AAB"/>
    <w:rsid w:val="00DB3EB5"/>
    <w:rsid w:val="00DC08D2"/>
    <w:rsid w:val="00DC25D8"/>
    <w:rsid w:val="00DC2A43"/>
    <w:rsid w:val="00DC48AE"/>
    <w:rsid w:val="00DC4D24"/>
    <w:rsid w:val="00DC5519"/>
    <w:rsid w:val="00DD0598"/>
    <w:rsid w:val="00DD1201"/>
    <w:rsid w:val="00DD1229"/>
    <w:rsid w:val="00DD1984"/>
    <w:rsid w:val="00DD2632"/>
    <w:rsid w:val="00DD2F34"/>
    <w:rsid w:val="00DD4C3B"/>
    <w:rsid w:val="00DD51A5"/>
    <w:rsid w:val="00DD5C87"/>
    <w:rsid w:val="00DD7855"/>
    <w:rsid w:val="00DE0B69"/>
    <w:rsid w:val="00DE23F2"/>
    <w:rsid w:val="00DE3C90"/>
    <w:rsid w:val="00DE3D22"/>
    <w:rsid w:val="00DE4D7D"/>
    <w:rsid w:val="00DE5AC6"/>
    <w:rsid w:val="00DE7E58"/>
    <w:rsid w:val="00DF4A77"/>
    <w:rsid w:val="00DF554A"/>
    <w:rsid w:val="00DF6A22"/>
    <w:rsid w:val="00DF6F79"/>
    <w:rsid w:val="00DF7CA2"/>
    <w:rsid w:val="00E0076A"/>
    <w:rsid w:val="00E00ABF"/>
    <w:rsid w:val="00E07218"/>
    <w:rsid w:val="00E11DAD"/>
    <w:rsid w:val="00E122F1"/>
    <w:rsid w:val="00E128E1"/>
    <w:rsid w:val="00E12ADB"/>
    <w:rsid w:val="00E14FBE"/>
    <w:rsid w:val="00E16768"/>
    <w:rsid w:val="00E20A4B"/>
    <w:rsid w:val="00E21488"/>
    <w:rsid w:val="00E229C5"/>
    <w:rsid w:val="00E24C39"/>
    <w:rsid w:val="00E25398"/>
    <w:rsid w:val="00E25B72"/>
    <w:rsid w:val="00E31F2A"/>
    <w:rsid w:val="00E335F9"/>
    <w:rsid w:val="00E33BD7"/>
    <w:rsid w:val="00E4426D"/>
    <w:rsid w:val="00E45030"/>
    <w:rsid w:val="00E45930"/>
    <w:rsid w:val="00E50E54"/>
    <w:rsid w:val="00E52A46"/>
    <w:rsid w:val="00E5451A"/>
    <w:rsid w:val="00E54E6C"/>
    <w:rsid w:val="00E55A63"/>
    <w:rsid w:val="00E56278"/>
    <w:rsid w:val="00E56327"/>
    <w:rsid w:val="00E617F8"/>
    <w:rsid w:val="00E618D3"/>
    <w:rsid w:val="00E61D94"/>
    <w:rsid w:val="00E632D0"/>
    <w:rsid w:val="00E645EB"/>
    <w:rsid w:val="00E65205"/>
    <w:rsid w:val="00E70471"/>
    <w:rsid w:val="00E70B12"/>
    <w:rsid w:val="00E7157F"/>
    <w:rsid w:val="00E71F1A"/>
    <w:rsid w:val="00E71F38"/>
    <w:rsid w:val="00E7257B"/>
    <w:rsid w:val="00E73B41"/>
    <w:rsid w:val="00E75AB3"/>
    <w:rsid w:val="00E75E82"/>
    <w:rsid w:val="00E762B6"/>
    <w:rsid w:val="00E773FC"/>
    <w:rsid w:val="00E808DB"/>
    <w:rsid w:val="00E80F4B"/>
    <w:rsid w:val="00E82BA3"/>
    <w:rsid w:val="00E83C60"/>
    <w:rsid w:val="00E84D17"/>
    <w:rsid w:val="00E87BDE"/>
    <w:rsid w:val="00E90772"/>
    <w:rsid w:val="00E90EDE"/>
    <w:rsid w:val="00E92562"/>
    <w:rsid w:val="00E9344B"/>
    <w:rsid w:val="00E94DE1"/>
    <w:rsid w:val="00E95C5C"/>
    <w:rsid w:val="00E97A27"/>
    <w:rsid w:val="00E97B5F"/>
    <w:rsid w:val="00EA176A"/>
    <w:rsid w:val="00EA1A0A"/>
    <w:rsid w:val="00EA5DB3"/>
    <w:rsid w:val="00EB1D28"/>
    <w:rsid w:val="00EB1ECE"/>
    <w:rsid w:val="00EB2896"/>
    <w:rsid w:val="00EB2AA4"/>
    <w:rsid w:val="00EB40E2"/>
    <w:rsid w:val="00EC13E6"/>
    <w:rsid w:val="00EC21EA"/>
    <w:rsid w:val="00EC3BE0"/>
    <w:rsid w:val="00EC523F"/>
    <w:rsid w:val="00EC6D0F"/>
    <w:rsid w:val="00EC76D5"/>
    <w:rsid w:val="00EE4274"/>
    <w:rsid w:val="00EE4833"/>
    <w:rsid w:val="00EE53F4"/>
    <w:rsid w:val="00EE667C"/>
    <w:rsid w:val="00EE697D"/>
    <w:rsid w:val="00EE6DDE"/>
    <w:rsid w:val="00EE6ED3"/>
    <w:rsid w:val="00EE786C"/>
    <w:rsid w:val="00EF0A90"/>
    <w:rsid w:val="00EF26DC"/>
    <w:rsid w:val="00EF286D"/>
    <w:rsid w:val="00EF28BA"/>
    <w:rsid w:val="00EF2D8F"/>
    <w:rsid w:val="00EF38CE"/>
    <w:rsid w:val="00EF40B4"/>
    <w:rsid w:val="00F00CA9"/>
    <w:rsid w:val="00F03ED2"/>
    <w:rsid w:val="00F04AEE"/>
    <w:rsid w:val="00F0573C"/>
    <w:rsid w:val="00F06A02"/>
    <w:rsid w:val="00F07C65"/>
    <w:rsid w:val="00F110BA"/>
    <w:rsid w:val="00F11899"/>
    <w:rsid w:val="00F122BB"/>
    <w:rsid w:val="00F140FF"/>
    <w:rsid w:val="00F156F3"/>
    <w:rsid w:val="00F16B5D"/>
    <w:rsid w:val="00F20985"/>
    <w:rsid w:val="00F2191E"/>
    <w:rsid w:val="00F21BA7"/>
    <w:rsid w:val="00F221C4"/>
    <w:rsid w:val="00F243DA"/>
    <w:rsid w:val="00F26121"/>
    <w:rsid w:val="00F30C90"/>
    <w:rsid w:val="00F30FB2"/>
    <w:rsid w:val="00F3120E"/>
    <w:rsid w:val="00F35A29"/>
    <w:rsid w:val="00F41795"/>
    <w:rsid w:val="00F41DBA"/>
    <w:rsid w:val="00F42A52"/>
    <w:rsid w:val="00F450AF"/>
    <w:rsid w:val="00F47FCC"/>
    <w:rsid w:val="00F50280"/>
    <w:rsid w:val="00F518C4"/>
    <w:rsid w:val="00F541BA"/>
    <w:rsid w:val="00F563AC"/>
    <w:rsid w:val="00F56A92"/>
    <w:rsid w:val="00F57825"/>
    <w:rsid w:val="00F6072C"/>
    <w:rsid w:val="00F61211"/>
    <w:rsid w:val="00F64BAE"/>
    <w:rsid w:val="00F65CEF"/>
    <w:rsid w:val="00F66742"/>
    <w:rsid w:val="00F72D5F"/>
    <w:rsid w:val="00F8117A"/>
    <w:rsid w:val="00F81B2F"/>
    <w:rsid w:val="00F82869"/>
    <w:rsid w:val="00F84B8F"/>
    <w:rsid w:val="00F85B9C"/>
    <w:rsid w:val="00F87957"/>
    <w:rsid w:val="00F91D80"/>
    <w:rsid w:val="00F95158"/>
    <w:rsid w:val="00F97203"/>
    <w:rsid w:val="00F972A2"/>
    <w:rsid w:val="00F97B52"/>
    <w:rsid w:val="00FA0597"/>
    <w:rsid w:val="00FA1922"/>
    <w:rsid w:val="00FA2F2C"/>
    <w:rsid w:val="00FA2F9E"/>
    <w:rsid w:val="00FA321D"/>
    <w:rsid w:val="00FA36B8"/>
    <w:rsid w:val="00FA462E"/>
    <w:rsid w:val="00FA4A0C"/>
    <w:rsid w:val="00FA715E"/>
    <w:rsid w:val="00FB0F22"/>
    <w:rsid w:val="00FB3D83"/>
    <w:rsid w:val="00FB5598"/>
    <w:rsid w:val="00FB58F8"/>
    <w:rsid w:val="00FC0473"/>
    <w:rsid w:val="00FC1BEE"/>
    <w:rsid w:val="00FC1F67"/>
    <w:rsid w:val="00FC43CA"/>
    <w:rsid w:val="00FC48AB"/>
    <w:rsid w:val="00FC60E2"/>
    <w:rsid w:val="00FC7783"/>
    <w:rsid w:val="00FD01B0"/>
    <w:rsid w:val="00FD115F"/>
    <w:rsid w:val="00FD14F3"/>
    <w:rsid w:val="00FD5083"/>
    <w:rsid w:val="00FD5204"/>
    <w:rsid w:val="00FD63B7"/>
    <w:rsid w:val="00FD7691"/>
    <w:rsid w:val="00FE00A1"/>
    <w:rsid w:val="00FE076E"/>
    <w:rsid w:val="00FE0C53"/>
    <w:rsid w:val="00FE1BCC"/>
    <w:rsid w:val="00FE2F6B"/>
    <w:rsid w:val="00FE4856"/>
    <w:rsid w:val="00FE6677"/>
    <w:rsid w:val="00FE712E"/>
    <w:rsid w:val="00FF18D1"/>
    <w:rsid w:val="00FF2DA7"/>
    <w:rsid w:val="00FF3ABE"/>
    <w:rsid w:val="00FF4B21"/>
    <w:rsid w:val="00FF5127"/>
    <w:rsid w:val="00FF5A9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4742"/>
  <w15:docId w15:val="{A94129C8-DD1F-4BBB-9835-624E2C2F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843"/>
    <w:rPr>
      <w:rFonts w:ascii="Segoe UI" w:hAnsi="Segoe UI" w:cs="Segoe UI"/>
      <w:sz w:val="18"/>
      <w:szCs w:val="18"/>
    </w:rPr>
  </w:style>
  <w:style w:type="table" w:customStyle="1" w:styleId="a0">
    <w:basedOn w:val="TableNormal10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table" w:customStyle="1" w:styleId="a1">
    <w:basedOn w:val="TableNormal10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7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B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B2D"/>
    <w:rPr>
      <w:b/>
      <w:bCs/>
      <w:sz w:val="20"/>
      <w:szCs w:val="20"/>
    </w:rPr>
  </w:style>
  <w:style w:type="table" w:customStyle="1" w:styleId="a2">
    <w:basedOn w:val="TableNormal8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table" w:customStyle="1" w:styleId="a3">
    <w:basedOn w:val="TableNormal7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250"/>
  </w:style>
  <w:style w:type="paragraph" w:styleId="Stopka">
    <w:name w:val="footer"/>
    <w:basedOn w:val="Normalny"/>
    <w:link w:val="StopkaZnak"/>
    <w:uiPriority w:val="99"/>
    <w:unhideWhenUsed/>
    <w:rsid w:val="004C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250"/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909A0"/>
    <w:pPr>
      <w:ind w:left="720"/>
      <w:contextualSpacing/>
    </w:pPr>
  </w:style>
  <w:style w:type="table" w:customStyle="1" w:styleId="a5">
    <w:basedOn w:val="TableNormal5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255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1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51161"/>
    <w:rPr>
      <w:vertAlign w:val="superscript"/>
    </w:rPr>
  </w:style>
  <w:style w:type="paragraph" w:styleId="Poprawka">
    <w:name w:val="Revision"/>
    <w:hidden/>
    <w:uiPriority w:val="99"/>
    <w:semiHidden/>
    <w:rsid w:val="0077009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C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C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C6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5C3B"/>
    <w:rPr>
      <w:i/>
      <w:iCs/>
    </w:rPr>
  </w:style>
  <w:style w:type="character" w:customStyle="1" w:styleId="newspageshort">
    <w:name w:val="newspageshort"/>
    <w:basedOn w:val="Domylnaczcionkaakapitu"/>
    <w:rsid w:val="0055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ia.budimex.pl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ichal.wrzosek@budimex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o23bhZiq9gIJc2H6Ifib6JsTyw==">AMUW2mUxnMf2l6g7cEe03YceFHGW7RsJmkmY4cBNkhj7hAmSFzS6Wj4IC0z4guUoq5kFp31sT6fnmUdqVOmx+z9fhSaoZCbggrsr/yX+1ow2mQww0y5B8+pelFlr/b6OreRGoMprXVru3gV4FUDPM7N0q9217hTYGA==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CE1AF6-A0EE-41F2-A491-45D0E3D876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2149</Words>
  <Characters>12895</Characters>
  <Application>Microsoft Office Word</Application>
  <DocSecurity>0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Wójcik</dc:creator>
  <cp:lastModifiedBy>Wrzosek, Michał</cp:lastModifiedBy>
  <cp:revision>2</cp:revision>
  <cp:lastPrinted>2023-04-18T10:50:00Z</cp:lastPrinted>
  <dcterms:created xsi:type="dcterms:W3CDTF">2025-07-28T15:14:00Z</dcterms:created>
  <dcterms:modified xsi:type="dcterms:W3CDTF">2025-07-28T15:14:00Z</dcterms:modified>
</cp:coreProperties>
</file>